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480" w:lineRule="auto"/>
        <w:jc w:val="center"/>
        <w:textAlignment w:val="baseline"/>
        <w:rPr>
          <w:rFonts w:ascii="宋体"/>
          <w:b/>
          <w:kern w:val="0"/>
          <w:sz w:val="44"/>
          <w:szCs w:val="44"/>
        </w:rPr>
      </w:pPr>
      <w:bookmarkStart w:id="0" w:name="_Toc21853133"/>
      <w:bookmarkStart w:id="1" w:name="_Toc21853790"/>
      <w:bookmarkStart w:id="2" w:name="_Toc19351667"/>
      <w:bookmarkStart w:id="3" w:name="_Toc507424023"/>
      <w:bookmarkStart w:id="4" w:name="_Toc19351170"/>
      <w:bookmarkStart w:id="5" w:name="_Toc503403675"/>
      <w:bookmarkStart w:id="6" w:name="_Toc506716388"/>
      <w:bookmarkStart w:id="7" w:name="_Toc28422952"/>
      <w:bookmarkStart w:id="8" w:name="_Toc467989693"/>
      <w:bookmarkStart w:id="9" w:name="_Toc467934798"/>
      <w:bookmarkStart w:id="10" w:name="_Toc467895744"/>
      <w:bookmarkStart w:id="11" w:name="_Toc506372770"/>
      <w:bookmarkStart w:id="12" w:name="_Toc19432068"/>
      <w:bookmarkStart w:id="13" w:name="_Toc468152298"/>
    </w:p>
    <w:bookmarkEnd w:id="0"/>
    <w:bookmarkEnd w:id="1"/>
    <w:bookmarkEnd w:id="2"/>
    <w:bookmarkEnd w:id="3"/>
    <w:bookmarkEnd w:id="4"/>
    <w:bookmarkEnd w:id="5"/>
    <w:bookmarkEnd w:id="6"/>
    <w:bookmarkEnd w:id="7"/>
    <w:bookmarkEnd w:id="8"/>
    <w:bookmarkEnd w:id="9"/>
    <w:bookmarkEnd w:id="10"/>
    <w:bookmarkEnd w:id="11"/>
    <w:bookmarkEnd w:id="12"/>
    <w:bookmarkEnd w:id="13"/>
    <w:p>
      <w:pPr>
        <w:spacing w:line="360" w:lineRule="auto"/>
        <w:jc w:val="center"/>
        <w:rPr>
          <w:rFonts w:hint="eastAsia" w:ascii="Times New Roman"/>
          <w:b/>
          <w:sz w:val="48"/>
          <w:szCs w:val="20"/>
        </w:rPr>
      </w:pPr>
    </w:p>
    <w:p>
      <w:pPr>
        <w:spacing w:line="360" w:lineRule="auto"/>
        <w:jc w:val="center"/>
        <w:rPr>
          <w:b/>
          <w:sz w:val="36"/>
          <w:szCs w:val="36"/>
        </w:rPr>
      </w:pPr>
      <w:r>
        <w:rPr>
          <w:rFonts w:hint="eastAsia"/>
          <w:b/>
          <w:sz w:val="36"/>
          <w:szCs w:val="36"/>
        </w:rPr>
        <w:t>四川泸州川南发电有限责任公司</w:t>
      </w:r>
      <w:r>
        <w:rPr>
          <w:rFonts w:hint="eastAsia" w:ascii="宋体" w:hAnsi="宋体"/>
          <w:b/>
          <w:sz w:val="36"/>
          <w:szCs w:val="36"/>
        </w:rPr>
        <w:t>2×600MW机组</w:t>
      </w:r>
    </w:p>
    <w:p>
      <w:pPr>
        <w:spacing w:line="360" w:lineRule="auto"/>
        <w:jc w:val="center"/>
        <w:rPr>
          <w:b/>
          <w:spacing w:val="-76"/>
          <w:sz w:val="52"/>
          <w:szCs w:val="52"/>
        </w:rPr>
      </w:pPr>
    </w:p>
    <w:p>
      <w:pPr>
        <w:spacing w:line="360" w:lineRule="auto"/>
        <w:jc w:val="center"/>
        <w:rPr>
          <w:b/>
          <w:spacing w:val="-76"/>
          <w:sz w:val="52"/>
          <w:szCs w:val="52"/>
        </w:rPr>
      </w:pPr>
    </w:p>
    <w:p>
      <w:pPr>
        <w:spacing w:line="360" w:lineRule="auto"/>
        <w:jc w:val="center"/>
        <w:rPr>
          <w:b/>
          <w:spacing w:val="-76"/>
          <w:sz w:val="52"/>
          <w:szCs w:val="52"/>
        </w:rPr>
      </w:pPr>
    </w:p>
    <w:p>
      <w:pPr>
        <w:spacing w:line="360" w:lineRule="auto"/>
        <w:jc w:val="center"/>
        <w:rPr>
          <w:rFonts w:hint="default" w:eastAsia="宋体"/>
          <w:b/>
          <w:sz w:val="48"/>
          <w:szCs w:val="48"/>
          <w:lang w:val="en-US" w:eastAsia="zh-CN"/>
        </w:rPr>
      </w:pPr>
      <w:r>
        <w:rPr>
          <w:rFonts w:hint="eastAsia"/>
          <w:b/>
          <w:sz w:val="48"/>
          <w:szCs w:val="48"/>
          <w:lang w:val="en-US" w:eastAsia="zh-CN"/>
        </w:rPr>
        <w:t>#1励磁系统试验技术服务</w:t>
      </w:r>
    </w:p>
    <w:p>
      <w:pPr>
        <w:spacing w:line="360" w:lineRule="auto"/>
        <w:jc w:val="center"/>
        <w:rPr>
          <w:rFonts w:hint="eastAsia" w:eastAsia="宋体"/>
          <w:spacing w:val="-76"/>
          <w:sz w:val="48"/>
          <w:szCs w:val="48"/>
          <w:lang w:eastAsia="zh-CN"/>
        </w:rPr>
      </w:pPr>
      <w:r>
        <w:rPr>
          <w:rFonts w:hint="eastAsia"/>
          <w:b/>
          <w:sz w:val="48"/>
          <w:szCs w:val="48"/>
          <w:lang w:eastAsia="zh-CN"/>
        </w:rPr>
        <w:t>技术条件书</w:t>
      </w:r>
    </w:p>
    <w:p>
      <w:pPr>
        <w:spacing w:line="360" w:lineRule="auto"/>
        <w:jc w:val="center"/>
        <w:rPr>
          <w:b/>
          <w:sz w:val="48"/>
          <w:szCs w:val="20"/>
        </w:rPr>
      </w:pPr>
    </w:p>
    <w:p>
      <w:pPr>
        <w:overflowPunct w:val="0"/>
        <w:autoSpaceDE w:val="0"/>
        <w:autoSpaceDN w:val="0"/>
        <w:spacing w:line="360" w:lineRule="auto"/>
        <w:jc w:val="center"/>
        <w:outlineLvl w:val="0"/>
        <w:rPr>
          <w:rFonts w:ascii="宋体"/>
          <w:sz w:val="28"/>
        </w:rPr>
      </w:pPr>
    </w:p>
    <w:p>
      <w:pPr>
        <w:overflowPunct w:val="0"/>
        <w:autoSpaceDE w:val="0"/>
        <w:autoSpaceDN w:val="0"/>
        <w:spacing w:line="360" w:lineRule="auto"/>
        <w:jc w:val="center"/>
        <w:outlineLvl w:val="0"/>
        <w:rPr>
          <w:rFonts w:hint="eastAsia" w:ascii="宋体"/>
          <w:sz w:val="28"/>
        </w:rPr>
      </w:pPr>
    </w:p>
    <w:p>
      <w:pPr>
        <w:overflowPunct w:val="0"/>
        <w:autoSpaceDE w:val="0"/>
        <w:autoSpaceDN w:val="0"/>
        <w:spacing w:line="360" w:lineRule="auto"/>
        <w:jc w:val="center"/>
        <w:outlineLvl w:val="0"/>
        <w:rPr>
          <w:rFonts w:hint="eastAsia" w:ascii="宋体"/>
          <w:sz w:val="28"/>
        </w:rPr>
      </w:pPr>
    </w:p>
    <w:p>
      <w:pPr>
        <w:overflowPunct w:val="0"/>
        <w:autoSpaceDE w:val="0"/>
        <w:autoSpaceDN w:val="0"/>
        <w:spacing w:line="360" w:lineRule="auto"/>
        <w:jc w:val="center"/>
        <w:outlineLvl w:val="0"/>
        <w:rPr>
          <w:rFonts w:hint="eastAsia" w:ascii="宋体"/>
          <w:sz w:val="28"/>
        </w:rPr>
      </w:pPr>
    </w:p>
    <w:p>
      <w:pPr>
        <w:overflowPunct w:val="0"/>
        <w:autoSpaceDE w:val="0"/>
        <w:autoSpaceDN w:val="0"/>
        <w:spacing w:line="360" w:lineRule="auto"/>
        <w:jc w:val="center"/>
        <w:outlineLvl w:val="0"/>
        <w:rPr>
          <w:rFonts w:hint="eastAsia" w:ascii="宋体"/>
          <w:sz w:val="28"/>
        </w:rPr>
      </w:pPr>
    </w:p>
    <w:p>
      <w:pPr>
        <w:overflowPunct w:val="0"/>
        <w:autoSpaceDE w:val="0"/>
        <w:autoSpaceDN w:val="0"/>
        <w:spacing w:line="360" w:lineRule="auto"/>
        <w:jc w:val="center"/>
        <w:outlineLvl w:val="0"/>
        <w:rPr>
          <w:rFonts w:hint="eastAsia" w:ascii="宋体"/>
          <w:sz w:val="28"/>
        </w:rPr>
      </w:pPr>
    </w:p>
    <w:p>
      <w:pPr>
        <w:overflowPunct w:val="0"/>
        <w:autoSpaceDE w:val="0"/>
        <w:autoSpaceDN w:val="0"/>
        <w:spacing w:line="360" w:lineRule="auto"/>
        <w:jc w:val="center"/>
        <w:outlineLvl w:val="0"/>
        <w:rPr>
          <w:rFonts w:hint="eastAsia" w:ascii="宋体"/>
          <w:sz w:val="28"/>
        </w:rPr>
      </w:pPr>
    </w:p>
    <w:p>
      <w:pPr>
        <w:overflowPunct w:val="0"/>
        <w:autoSpaceDE w:val="0"/>
        <w:autoSpaceDN w:val="0"/>
        <w:spacing w:line="360" w:lineRule="auto"/>
        <w:jc w:val="center"/>
        <w:outlineLvl w:val="0"/>
        <w:rPr>
          <w:rFonts w:hint="eastAsia" w:ascii="宋体"/>
          <w:sz w:val="28"/>
        </w:rPr>
      </w:pPr>
    </w:p>
    <w:p>
      <w:pPr>
        <w:overflowPunct w:val="0"/>
        <w:autoSpaceDE w:val="0"/>
        <w:autoSpaceDN w:val="0"/>
        <w:spacing w:line="360" w:lineRule="auto"/>
        <w:jc w:val="center"/>
        <w:outlineLvl w:val="0"/>
        <w:rPr>
          <w:rFonts w:hint="eastAsia" w:ascii="宋体"/>
          <w:sz w:val="36"/>
          <w:szCs w:val="36"/>
        </w:rPr>
      </w:pPr>
    </w:p>
    <w:p>
      <w:pPr>
        <w:overflowPunct w:val="0"/>
        <w:autoSpaceDE w:val="0"/>
        <w:autoSpaceDN w:val="0"/>
        <w:spacing w:line="360" w:lineRule="auto"/>
        <w:jc w:val="center"/>
        <w:outlineLvl w:val="0"/>
        <w:rPr>
          <w:rFonts w:hint="eastAsia" w:ascii="宋体"/>
          <w:sz w:val="36"/>
          <w:szCs w:val="36"/>
        </w:rPr>
      </w:pPr>
    </w:p>
    <w:p>
      <w:pPr>
        <w:tabs>
          <w:tab w:val="left" w:pos="600"/>
        </w:tabs>
        <w:snapToGrid w:val="0"/>
        <w:spacing w:line="360" w:lineRule="auto"/>
        <w:ind w:firstLine="1102" w:firstLineChars="343"/>
        <w:jc w:val="center"/>
        <w:rPr>
          <w:rFonts w:hint="eastAsia" w:ascii="宋体" w:hAnsi="宋体"/>
          <w:b/>
          <w:bCs/>
          <w:sz w:val="32"/>
          <w:szCs w:val="32"/>
        </w:rPr>
      </w:pPr>
      <w:r>
        <w:rPr>
          <w:rFonts w:hint="eastAsia" w:ascii="宋体" w:hAnsi="宋体"/>
          <w:b/>
          <w:bCs/>
          <w:sz w:val="32"/>
          <w:szCs w:val="32"/>
        </w:rPr>
        <w:t>四川泸州川南发电有限责任公司</w:t>
      </w:r>
    </w:p>
    <w:p>
      <w:pPr>
        <w:tabs>
          <w:tab w:val="left" w:pos="600"/>
        </w:tabs>
        <w:snapToGrid w:val="0"/>
        <w:spacing w:line="360" w:lineRule="auto"/>
        <w:ind w:firstLine="472" w:firstLineChars="147"/>
        <w:jc w:val="center"/>
        <w:rPr>
          <w:rFonts w:hint="eastAsia" w:ascii="宋体" w:hAnsi="宋体" w:eastAsia="宋体"/>
          <w:b/>
          <w:sz w:val="32"/>
          <w:szCs w:val="32"/>
          <w:lang w:eastAsia="zh-CN"/>
        </w:rPr>
      </w:pPr>
      <w:r>
        <w:rPr>
          <w:rFonts w:hint="eastAsia" w:ascii="宋体" w:hAnsi="宋体"/>
          <w:b/>
          <w:sz w:val="32"/>
          <w:szCs w:val="32"/>
        </w:rPr>
        <w:t>二〇</w:t>
      </w:r>
      <w:r>
        <w:rPr>
          <w:rFonts w:hint="eastAsia" w:ascii="宋体" w:hAnsi="宋体"/>
          <w:b/>
          <w:sz w:val="32"/>
          <w:szCs w:val="32"/>
          <w:lang w:val="en-US" w:eastAsia="zh-CN"/>
        </w:rPr>
        <w:t>二</w:t>
      </w:r>
      <w:r>
        <w:rPr>
          <w:rFonts w:hint="eastAsia" w:ascii="宋体" w:hAnsi="宋体"/>
          <w:b/>
          <w:sz w:val="32"/>
          <w:szCs w:val="32"/>
          <w:lang w:eastAsia="zh-CN"/>
        </w:rPr>
        <w:t>四</w:t>
      </w:r>
      <w:r>
        <w:rPr>
          <w:rFonts w:hint="eastAsia" w:ascii="宋体" w:hAnsi="宋体"/>
          <w:b/>
          <w:sz w:val="32"/>
          <w:szCs w:val="32"/>
        </w:rPr>
        <w:t>年</w:t>
      </w:r>
      <w:r>
        <w:rPr>
          <w:rFonts w:hint="eastAsia" w:ascii="宋体" w:hAnsi="宋体"/>
          <w:b/>
          <w:sz w:val="32"/>
          <w:szCs w:val="32"/>
          <w:lang w:val="en-US" w:eastAsia="zh-CN"/>
        </w:rPr>
        <w:t>三</w:t>
      </w:r>
      <w:r>
        <w:rPr>
          <w:rFonts w:hint="eastAsia" w:ascii="宋体" w:hAnsi="宋体"/>
          <w:b/>
          <w:sz w:val="32"/>
          <w:szCs w:val="32"/>
        </w:rPr>
        <w:t>月</w:t>
      </w:r>
    </w:p>
    <w:p>
      <w:pPr>
        <w:tabs>
          <w:tab w:val="left" w:pos="600"/>
        </w:tabs>
        <w:snapToGrid w:val="0"/>
        <w:spacing w:line="360" w:lineRule="auto"/>
        <w:ind w:firstLine="472" w:firstLineChars="147"/>
        <w:jc w:val="center"/>
        <w:rPr>
          <w:rFonts w:hint="eastAsia" w:ascii="宋体" w:hAnsi="宋体"/>
          <w:b/>
          <w:sz w:val="32"/>
          <w:szCs w:val="32"/>
        </w:rPr>
      </w:pPr>
    </w:p>
    <w:p>
      <w:pPr>
        <w:spacing w:line="360" w:lineRule="auto"/>
        <w:rPr>
          <w:rFonts w:hint="eastAsia" w:ascii="Times New Roman" w:hAnsi="Times New Roman"/>
          <w:szCs w:val="20"/>
        </w:rPr>
        <w:sectPr>
          <w:headerReference r:id="rId3" w:type="default"/>
          <w:pgSz w:w="11906" w:h="16838"/>
          <w:pgMar w:top="1440" w:right="1800" w:bottom="1440" w:left="1800" w:header="851" w:footer="992" w:gutter="0"/>
          <w:pgNumType w:start="0"/>
          <w:cols w:space="720" w:num="1"/>
          <w:docGrid w:type="lines" w:linePitch="312" w:charSpace="0"/>
        </w:sectPr>
      </w:pPr>
    </w:p>
    <w:p>
      <w:pPr>
        <w:numPr>
          <w:ilvl w:val="0"/>
          <w:numId w:val="3"/>
        </w:numPr>
        <w:spacing w:before="157" w:beforeLines="50" w:line="360" w:lineRule="auto"/>
        <w:rPr>
          <w:rFonts w:ascii="宋体" w:hAnsi="宋体"/>
          <w:b/>
          <w:color w:val="000000"/>
          <w:sz w:val="24"/>
          <w:szCs w:val="24"/>
        </w:rPr>
      </w:pPr>
      <w:r>
        <w:rPr>
          <w:rFonts w:hint="eastAsia" w:ascii="宋体" w:hAnsi="宋体"/>
          <w:b/>
          <w:color w:val="000000"/>
          <w:sz w:val="24"/>
          <w:szCs w:val="24"/>
        </w:rPr>
        <w:t>总则</w:t>
      </w:r>
    </w:p>
    <w:p>
      <w:pPr>
        <w:numPr>
          <w:ilvl w:val="1"/>
          <w:numId w:val="3"/>
        </w:numPr>
        <w:spacing w:line="360" w:lineRule="auto"/>
        <w:rPr>
          <w:rFonts w:hint="eastAsia" w:ascii="宋体" w:hAnsi="宋体"/>
          <w:sz w:val="24"/>
          <w:szCs w:val="24"/>
        </w:rPr>
      </w:pPr>
      <w:r>
        <w:rPr>
          <w:rFonts w:hint="eastAsia" w:ascii="宋体" w:hAnsi="宋体"/>
          <w:sz w:val="24"/>
          <w:szCs w:val="24"/>
        </w:rPr>
        <w:t>本</w:t>
      </w:r>
      <w:r>
        <w:rPr>
          <w:rFonts w:hint="eastAsia" w:ascii="宋体" w:hAnsi="宋体"/>
          <w:sz w:val="24"/>
          <w:szCs w:val="24"/>
          <w:lang w:eastAsia="zh-CN"/>
        </w:rPr>
        <w:t>技术条件书</w:t>
      </w:r>
      <w:r>
        <w:rPr>
          <w:rFonts w:hint="eastAsia" w:ascii="宋体" w:hAnsi="宋体"/>
          <w:sz w:val="24"/>
          <w:szCs w:val="24"/>
        </w:rPr>
        <w:t>适用于</w:t>
      </w:r>
      <w:r>
        <w:rPr>
          <w:rFonts w:hint="eastAsia" w:ascii="宋体" w:hAnsi="宋体"/>
          <w:sz w:val="24"/>
          <w:szCs w:val="24"/>
          <w:lang w:eastAsia="zh-CN"/>
        </w:rPr>
        <w:t>四川泸州川南发电有限责任公司</w:t>
      </w:r>
      <w:r>
        <w:rPr>
          <w:rFonts w:hint="eastAsia" w:ascii="宋体" w:hAnsi="宋体" w:eastAsia="宋体" w:cs="Times New Roman"/>
          <w:sz w:val="24"/>
          <w:szCs w:val="24"/>
        </w:rPr>
        <w:t>2×600MW机组</w:t>
      </w:r>
      <w:r>
        <w:rPr>
          <w:rFonts w:hint="eastAsia" w:ascii="宋体" w:hAnsi="宋体" w:cs="Times New Roman"/>
          <w:sz w:val="24"/>
          <w:szCs w:val="24"/>
          <w:lang w:val="en-US" w:eastAsia="zh-CN"/>
        </w:rPr>
        <w:t>#1机励磁系统试验技术服务</w:t>
      </w:r>
      <w:r>
        <w:rPr>
          <w:rFonts w:hint="eastAsia" w:ascii="宋体" w:hAnsi="宋体" w:cs="Times New Roman"/>
          <w:sz w:val="24"/>
          <w:szCs w:val="24"/>
          <w:lang w:eastAsia="zh-CN"/>
        </w:rPr>
        <w:t>项目</w:t>
      </w:r>
      <w:r>
        <w:rPr>
          <w:rFonts w:hint="eastAsia" w:ascii="宋体" w:hAnsi="宋体"/>
          <w:sz w:val="24"/>
          <w:szCs w:val="24"/>
        </w:rPr>
        <w:t>。它提出了工作内容、</w:t>
      </w:r>
      <w:r>
        <w:rPr>
          <w:rFonts w:hint="eastAsia" w:ascii="宋体" w:hAnsi="宋体"/>
          <w:sz w:val="24"/>
          <w:szCs w:val="24"/>
          <w:lang w:val="en-US" w:eastAsia="zh-CN"/>
        </w:rPr>
        <w:t>验收标准</w:t>
      </w:r>
      <w:r>
        <w:rPr>
          <w:rFonts w:hint="eastAsia" w:ascii="宋体" w:hAnsi="宋体"/>
          <w:sz w:val="24"/>
          <w:szCs w:val="24"/>
        </w:rPr>
        <w:t>、质量控制等方面的技术要求。</w:t>
      </w:r>
    </w:p>
    <w:p>
      <w:pPr>
        <w:numPr>
          <w:ilvl w:val="1"/>
          <w:numId w:val="3"/>
        </w:numPr>
        <w:spacing w:line="360" w:lineRule="auto"/>
        <w:rPr>
          <w:rFonts w:hint="eastAsia" w:ascii="宋体" w:hAnsi="宋体"/>
          <w:sz w:val="24"/>
          <w:szCs w:val="24"/>
        </w:rPr>
      </w:pPr>
      <w:r>
        <w:rPr>
          <w:rFonts w:hint="eastAsia" w:ascii="宋体" w:hAnsi="宋体"/>
          <w:sz w:val="24"/>
          <w:szCs w:val="24"/>
          <w:lang w:eastAsia="zh-CN"/>
        </w:rPr>
        <w:t>招标方</w:t>
      </w:r>
      <w:r>
        <w:rPr>
          <w:rFonts w:hint="eastAsia" w:ascii="宋体" w:hAnsi="宋体"/>
          <w:sz w:val="24"/>
          <w:szCs w:val="24"/>
        </w:rPr>
        <w:t>在本</w:t>
      </w:r>
      <w:r>
        <w:rPr>
          <w:rFonts w:hint="eastAsia" w:ascii="宋体" w:hAnsi="宋体"/>
          <w:sz w:val="24"/>
          <w:szCs w:val="24"/>
          <w:lang w:eastAsia="zh-CN"/>
        </w:rPr>
        <w:t>技术条件书</w:t>
      </w:r>
      <w:r>
        <w:rPr>
          <w:rFonts w:hint="eastAsia" w:ascii="宋体" w:hAnsi="宋体"/>
          <w:sz w:val="24"/>
          <w:szCs w:val="24"/>
        </w:rPr>
        <w:t>中所提及的要求是最低限度的要求，并未对一切技术细节</w:t>
      </w:r>
      <w:r>
        <w:rPr>
          <w:rFonts w:hint="eastAsia" w:ascii="宋体" w:hAnsi="宋体"/>
          <w:sz w:val="24"/>
          <w:szCs w:val="24"/>
          <w:lang w:val="en-US" w:eastAsia="zh-CN"/>
        </w:rPr>
        <w:t>作</w:t>
      </w:r>
      <w:r>
        <w:rPr>
          <w:rFonts w:hint="eastAsia" w:ascii="宋体" w:hAnsi="宋体"/>
          <w:sz w:val="24"/>
          <w:szCs w:val="24"/>
        </w:rPr>
        <w:t>出规定，也未充分地详述有关标准和规范条文，但</w:t>
      </w:r>
      <w:r>
        <w:rPr>
          <w:rFonts w:hint="eastAsia" w:ascii="宋体" w:hAnsi="宋体"/>
          <w:sz w:val="24"/>
          <w:szCs w:val="24"/>
          <w:lang w:eastAsia="zh-CN"/>
        </w:rPr>
        <w:t>投标方</w:t>
      </w:r>
      <w:r>
        <w:rPr>
          <w:rFonts w:hint="eastAsia" w:ascii="宋体" w:hAnsi="宋体"/>
          <w:sz w:val="24"/>
          <w:szCs w:val="24"/>
        </w:rPr>
        <w:t>应保证提供符合本</w:t>
      </w:r>
      <w:r>
        <w:rPr>
          <w:rFonts w:hint="eastAsia" w:ascii="宋体" w:hAnsi="宋体"/>
          <w:sz w:val="24"/>
          <w:szCs w:val="24"/>
          <w:lang w:eastAsia="zh-CN"/>
        </w:rPr>
        <w:t>技术条件书</w:t>
      </w:r>
      <w:r>
        <w:rPr>
          <w:rFonts w:hint="eastAsia" w:ascii="宋体" w:hAnsi="宋体"/>
          <w:sz w:val="24"/>
          <w:szCs w:val="24"/>
        </w:rPr>
        <w:t>和现行</w:t>
      </w:r>
      <w:r>
        <w:rPr>
          <w:rFonts w:hint="eastAsia" w:ascii="宋体" w:hAnsi="宋体"/>
          <w:sz w:val="24"/>
          <w:szCs w:val="24"/>
          <w:lang w:val="en-US" w:eastAsia="zh-CN"/>
        </w:rPr>
        <w:t>行</w:t>
      </w:r>
      <w:r>
        <w:rPr>
          <w:rFonts w:hint="eastAsia" w:ascii="宋体" w:hAnsi="宋体"/>
          <w:sz w:val="24"/>
          <w:szCs w:val="24"/>
        </w:rPr>
        <w:t>业标准的服务。</w:t>
      </w:r>
    </w:p>
    <w:p>
      <w:pPr>
        <w:numPr>
          <w:ilvl w:val="1"/>
          <w:numId w:val="3"/>
        </w:numPr>
        <w:spacing w:line="360" w:lineRule="auto"/>
        <w:rPr>
          <w:rFonts w:hint="eastAsia" w:ascii="宋体" w:hAnsi="宋体"/>
          <w:sz w:val="24"/>
          <w:szCs w:val="24"/>
        </w:rPr>
      </w:pPr>
      <w:r>
        <w:rPr>
          <w:rFonts w:hint="eastAsia" w:ascii="宋体" w:hAnsi="宋体"/>
          <w:sz w:val="24"/>
          <w:szCs w:val="24"/>
          <w:lang w:eastAsia="zh-CN"/>
        </w:rPr>
        <w:t>投标方</w:t>
      </w:r>
      <w:r>
        <w:rPr>
          <w:rFonts w:hint="eastAsia" w:ascii="宋体" w:hAnsi="宋体"/>
          <w:sz w:val="24"/>
          <w:szCs w:val="24"/>
        </w:rPr>
        <w:t>应对其工作范围内质量、</w:t>
      </w:r>
      <w:r>
        <w:rPr>
          <w:rFonts w:hint="eastAsia" w:ascii="宋体" w:hAnsi="宋体"/>
          <w:sz w:val="24"/>
          <w:szCs w:val="24"/>
          <w:lang w:val="en-US" w:eastAsia="zh-CN"/>
        </w:rPr>
        <w:t>进度、</w:t>
      </w:r>
      <w:r>
        <w:rPr>
          <w:rFonts w:hint="eastAsia" w:ascii="宋体" w:hAnsi="宋体"/>
          <w:sz w:val="24"/>
          <w:szCs w:val="24"/>
        </w:rPr>
        <w:t>人身和设备安全、环境保护负全责。</w:t>
      </w:r>
    </w:p>
    <w:p>
      <w:pPr>
        <w:numPr>
          <w:ilvl w:val="1"/>
          <w:numId w:val="3"/>
        </w:numPr>
        <w:spacing w:line="360" w:lineRule="auto"/>
        <w:rPr>
          <w:rFonts w:hint="eastAsia" w:ascii="宋体" w:hAnsi="宋体"/>
          <w:sz w:val="24"/>
          <w:szCs w:val="24"/>
        </w:rPr>
      </w:pPr>
      <w:r>
        <w:rPr>
          <w:rFonts w:hint="eastAsia" w:ascii="宋体" w:hAnsi="宋体"/>
          <w:sz w:val="24"/>
          <w:szCs w:val="24"/>
          <w:lang w:eastAsia="zh-CN"/>
        </w:rPr>
        <w:t>投标方</w:t>
      </w:r>
      <w:r>
        <w:rPr>
          <w:rFonts w:hint="eastAsia" w:ascii="宋体" w:hAnsi="宋体"/>
          <w:sz w:val="24"/>
          <w:szCs w:val="24"/>
        </w:rPr>
        <w:t>须执行本</w:t>
      </w:r>
      <w:r>
        <w:rPr>
          <w:rFonts w:hint="eastAsia" w:ascii="宋体" w:hAnsi="宋体"/>
          <w:sz w:val="24"/>
          <w:szCs w:val="24"/>
          <w:lang w:val="en-US" w:eastAsia="zh-CN"/>
        </w:rPr>
        <w:t>规范书</w:t>
      </w:r>
      <w:r>
        <w:rPr>
          <w:rFonts w:hint="eastAsia" w:ascii="宋体" w:hAnsi="宋体"/>
          <w:sz w:val="24"/>
          <w:szCs w:val="24"/>
        </w:rPr>
        <w:t>所列的各项标准。本</w:t>
      </w:r>
      <w:r>
        <w:rPr>
          <w:rFonts w:hint="eastAsia" w:ascii="宋体" w:hAnsi="宋体"/>
          <w:sz w:val="24"/>
          <w:szCs w:val="24"/>
          <w:lang w:val="en-US" w:eastAsia="zh-CN"/>
        </w:rPr>
        <w:t>规范书</w:t>
      </w:r>
      <w:r>
        <w:rPr>
          <w:rFonts w:hint="eastAsia" w:ascii="宋体" w:hAnsi="宋体"/>
          <w:sz w:val="24"/>
          <w:szCs w:val="24"/>
        </w:rPr>
        <w:t>中未提及的内容均应满足或优于本</w:t>
      </w:r>
      <w:r>
        <w:rPr>
          <w:rFonts w:hint="eastAsia" w:ascii="宋体" w:hAnsi="宋体"/>
          <w:sz w:val="24"/>
          <w:szCs w:val="24"/>
          <w:lang w:val="en-US" w:eastAsia="zh-CN"/>
        </w:rPr>
        <w:t>规范书</w:t>
      </w:r>
      <w:r>
        <w:rPr>
          <w:rFonts w:hint="eastAsia" w:ascii="宋体" w:hAnsi="宋体"/>
          <w:sz w:val="24"/>
          <w:szCs w:val="24"/>
        </w:rPr>
        <w:t>所列的国家标准、行业标准和有关的国际标准。本设备</w:t>
      </w:r>
      <w:r>
        <w:rPr>
          <w:rFonts w:hint="eastAsia" w:ascii="宋体" w:hAnsi="宋体"/>
          <w:sz w:val="24"/>
          <w:szCs w:val="24"/>
          <w:lang w:eastAsia="zh-CN"/>
        </w:rPr>
        <w:t>技术条件书</w:t>
      </w:r>
      <w:r>
        <w:rPr>
          <w:rFonts w:hint="eastAsia" w:ascii="宋体" w:hAnsi="宋体"/>
          <w:sz w:val="24"/>
          <w:szCs w:val="24"/>
        </w:rPr>
        <w:t>所使用的标准如遇与</w:t>
      </w:r>
      <w:r>
        <w:rPr>
          <w:rFonts w:hint="eastAsia" w:ascii="宋体" w:hAnsi="宋体"/>
          <w:sz w:val="24"/>
          <w:szCs w:val="24"/>
          <w:lang w:eastAsia="zh-CN"/>
        </w:rPr>
        <w:t>投标方</w:t>
      </w:r>
      <w:r>
        <w:rPr>
          <w:rFonts w:hint="eastAsia" w:ascii="宋体" w:hAnsi="宋体"/>
          <w:sz w:val="24"/>
          <w:szCs w:val="24"/>
        </w:rPr>
        <w:t>所执行的标准不一致时，按较高标准执行。</w:t>
      </w:r>
    </w:p>
    <w:p>
      <w:pPr>
        <w:numPr>
          <w:ilvl w:val="1"/>
          <w:numId w:val="3"/>
        </w:numPr>
        <w:spacing w:line="360" w:lineRule="auto"/>
        <w:rPr>
          <w:rFonts w:hint="eastAsia" w:ascii="宋体" w:hAnsi="宋体"/>
          <w:color w:val="auto"/>
          <w:sz w:val="24"/>
          <w:szCs w:val="24"/>
          <w:highlight w:val="none"/>
        </w:rPr>
      </w:pPr>
      <w:bookmarkStart w:id="28" w:name="_GoBack"/>
      <w:r>
        <w:rPr>
          <w:rFonts w:hint="eastAsia" w:ascii="宋体" w:hAnsi="宋体"/>
          <w:sz w:val="24"/>
          <w:szCs w:val="24"/>
          <w:highlight w:val="none"/>
          <w:lang w:val="en-US" w:eastAsia="zh-CN"/>
        </w:rPr>
        <w:t>投标方中标后，招、投标双方将以</w:t>
      </w:r>
      <w:r>
        <w:rPr>
          <w:rFonts w:hint="eastAsia" w:ascii="宋体" w:hAnsi="宋体"/>
          <w:sz w:val="24"/>
          <w:szCs w:val="24"/>
          <w:highlight w:val="none"/>
        </w:rPr>
        <w:t>本</w:t>
      </w:r>
      <w:r>
        <w:rPr>
          <w:rFonts w:hint="eastAsia" w:ascii="宋体" w:hAnsi="宋体"/>
          <w:sz w:val="24"/>
          <w:szCs w:val="24"/>
          <w:highlight w:val="none"/>
          <w:lang w:eastAsia="zh-CN"/>
        </w:rPr>
        <w:t>技术条件书</w:t>
      </w:r>
      <w:r>
        <w:rPr>
          <w:rFonts w:hint="eastAsia" w:ascii="宋体" w:hAnsi="宋体"/>
          <w:sz w:val="24"/>
          <w:szCs w:val="24"/>
          <w:highlight w:val="none"/>
          <w:lang w:val="en-US" w:eastAsia="zh-CN"/>
        </w:rPr>
        <w:t>为蓝本协商达成一致的技术协议</w:t>
      </w:r>
      <w:r>
        <w:rPr>
          <w:rFonts w:hint="eastAsia" w:ascii="宋体" w:hAnsi="宋体"/>
          <w:sz w:val="24"/>
          <w:szCs w:val="24"/>
          <w:highlight w:val="none"/>
        </w:rPr>
        <w:t>作为合同附件，与合同正文具有同等效力。</w:t>
      </w:r>
    </w:p>
    <w:p>
      <w:pPr>
        <w:numPr>
          <w:ilvl w:val="1"/>
          <w:numId w:val="3"/>
        </w:numPr>
        <w:spacing w:line="360" w:lineRule="auto"/>
        <w:rPr>
          <w:rFonts w:hint="eastAsia" w:ascii="宋体" w:hAnsi="宋体"/>
          <w:color w:val="auto"/>
          <w:sz w:val="24"/>
          <w:szCs w:val="24"/>
          <w:highlight w:val="none"/>
        </w:rPr>
      </w:pPr>
      <w:r>
        <w:rPr>
          <w:rFonts w:hint="eastAsia" w:ascii="宋体" w:hAnsi="宋体" w:eastAsia="宋体" w:cs="宋体"/>
          <w:bCs/>
          <w:i w:val="0"/>
          <w:caps w:val="0"/>
          <w:color w:val="auto"/>
          <w:spacing w:val="0"/>
          <w:sz w:val="24"/>
          <w:szCs w:val="24"/>
          <w:highlight w:val="none"/>
          <w:shd w:val="clear" w:color="auto" w:fill="FFFFFF"/>
        </w:rPr>
        <w:t>投</w:t>
      </w:r>
      <w:r>
        <w:rPr>
          <w:rFonts w:hint="eastAsia" w:ascii="宋体" w:hAnsi="宋体" w:eastAsia="宋体" w:cs="宋体"/>
          <w:bCs/>
          <w:i w:val="0"/>
          <w:caps w:val="0"/>
          <w:color w:val="auto"/>
          <w:spacing w:val="0"/>
          <w:sz w:val="24"/>
          <w:szCs w:val="24"/>
          <w:highlight w:val="none"/>
          <w:shd w:val="clear" w:color="auto" w:fill="FFFFFF"/>
        </w:rPr>
        <w:t>标</w:t>
      </w:r>
      <w:r>
        <w:rPr>
          <w:rFonts w:hint="eastAsia" w:ascii="宋体" w:hAnsi="宋体" w:cs="宋体"/>
          <w:bCs/>
          <w:i w:val="0"/>
          <w:caps w:val="0"/>
          <w:color w:val="auto"/>
          <w:spacing w:val="0"/>
          <w:sz w:val="24"/>
          <w:szCs w:val="24"/>
          <w:highlight w:val="none"/>
          <w:shd w:val="clear" w:color="auto" w:fill="FFFFFF"/>
          <w:lang w:val="en-US" w:eastAsia="zh-CN"/>
        </w:rPr>
        <w:t>方必须为</w:t>
      </w:r>
      <w:r>
        <w:rPr>
          <w:rFonts w:hint="eastAsia"/>
          <w:sz w:val="24"/>
          <w:szCs w:val="24"/>
          <w:highlight w:val="none"/>
          <w:lang w:val="en-US" w:eastAsia="zh-CN"/>
        </w:rPr>
        <w:t>GE励磁装置在国内授权单位以及</w:t>
      </w:r>
      <w:r>
        <w:rPr>
          <w:rFonts w:hint="eastAsia"/>
          <w:sz w:val="24"/>
          <w:szCs w:val="24"/>
          <w:highlight w:val="none"/>
          <w:lang w:eastAsia="zh-CN"/>
        </w:rPr>
        <w:t>具备该装置技术服务能力的单位</w:t>
      </w:r>
      <w:r>
        <w:rPr>
          <w:rFonts w:hint="eastAsia" w:ascii="宋体" w:hAnsi="宋体" w:cs="宋体"/>
          <w:bCs/>
          <w:i w:val="0"/>
          <w:caps w:val="0"/>
          <w:color w:val="auto"/>
          <w:spacing w:val="0"/>
          <w:sz w:val="24"/>
          <w:szCs w:val="24"/>
          <w:highlight w:val="none"/>
          <w:shd w:val="clear" w:color="auto" w:fill="FFFFFF"/>
          <w:lang w:val="en-US" w:eastAsia="zh-CN"/>
        </w:rPr>
        <w:t>。</w:t>
      </w:r>
    </w:p>
    <w:p>
      <w:pPr>
        <w:numPr>
          <w:ilvl w:val="1"/>
          <w:numId w:val="3"/>
        </w:numPr>
        <w:spacing w:line="360" w:lineRule="auto"/>
        <w:rPr>
          <w:rFonts w:hint="eastAsia" w:ascii="宋体" w:hAnsi="宋体" w:eastAsia="宋体" w:cs="宋体"/>
          <w:bCs/>
          <w:i w:val="0"/>
          <w:caps w:val="0"/>
          <w:color w:val="auto"/>
          <w:spacing w:val="0"/>
          <w:sz w:val="24"/>
          <w:szCs w:val="24"/>
          <w:highlight w:val="none"/>
          <w:shd w:val="clear" w:color="auto" w:fill="FFFFFF"/>
        </w:rPr>
      </w:pPr>
      <w:r>
        <w:rPr>
          <w:rFonts w:hint="eastAsia" w:ascii="宋体" w:hAnsi="宋体" w:eastAsia="宋体" w:cs="宋体"/>
          <w:bCs/>
          <w:i w:val="0"/>
          <w:caps w:val="0"/>
          <w:color w:val="auto"/>
          <w:spacing w:val="0"/>
          <w:sz w:val="24"/>
          <w:szCs w:val="24"/>
          <w:highlight w:val="none"/>
          <w:shd w:val="clear" w:color="auto" w:fill="FFFFFF"/>
          <w:lang w:eastAsia="zh-CN"/>
        </w:rPr>
        <w:t>投</w:t>
      </w:r>
      <w:r>
        <w:rPr>
          <w:rFonts w:hint="eastAsia" w:ascii="宋体" w:hAnsi="宋体" w:cs="宋体"/>
          <w:bCs/>
          <w:i w:val="0"/>
          <w:caps w:val="0"/>
          <w:color w:val="auto"/>
          <w:spacing w:val="0"/>
          <w:sz w:val="24"/>
          <w:szCs w:val="24"/>
          <w:highlight w:val="none"/>
          <w:shd w:val="clear" w:color="auto" w:fill="FFFFFF"/>
          <w:lang w:eastAsia="zh-CN"/>
        </w:rPr>
        <w:t>标</w:t>
      </w:r>
      <w:r>
        <w:rPr>
          <w:rFonts w:hint="eastAsia" w:ascii="宋体" w:hAnsi="宋体" w:eastAsia="宋体" w:cs="宋体"/>
          <w:bCs/>
          <w:i w:val="0"/>
          <w:caps w:val="0"/>
          <w:color w:val="auto"/>
          <w:spacing w:val="0"/>
          <w:sz w:val="24"/>
          <w:szCs w:val="24"/>
          <w:highlight w:val="none"/>
          <w:shd w:val="clear" w:color="auto" w:fill="FFFFFF"/>
        </w:rPr>
        <w:t>方投标前</w:t>
      </w:r>
      <w:r>
        <w:rPr>
          <w:rFonts w:hint="eastAsia" w:ascii="宋体" w:hAnsi="宋体" w:cs="宋体"/>
          <w:bCs/>
          <w:i w:val="0"/>
          <w:caps w:val="0"/>
          <w:color w:val="auto"/>
          <w:spacing w:val="0"/>
          <w:sz w:val="24"/>
          <w:szCs w:val="24"/>
          <w:highlight w:val="none"/>
          <w:shd w:val="clear" w:color="auto" w:fill="FFFFFF"/>
          <w:lang w:eastAsia="zh-CN"/>
        </w:rPr>
        <w:t>应</w:t>
      </w:r>
      <w:r>
        <w:rPr>
          <w:rFonts w:hint="eastAsia" w:ascii="宋体" w:hAnsi="宋体" w:eastAsia="宋体" w:cs="宋体"/>
          <w:bCs/>
          <w:i w:val="0"/>
          <w:caps w:val="0"/>
          <w:color w:val="auto"/>
          <w:spacing w:val="0"/>
          <w:sz w:val="24"/>
          <w:szCs w:val="24"/>
          <w:highlight w:val="none"/>
          <w:shd w:val="clear" w:color="auto" w:fill="FFFFFF"/>
        </w:rPr>
        <w:t>仔细阅读本</w:t>
      </w:r>
      <w:r>
        <w:rPr>
          <w:rFonts w:hint="eastAsia" w:ascii="宋体" w:hAnsi="宋体" w:cs="宋体"/>
          <w:bCs/>
          <w:i w:val="0"/>
          <w:caps w:val="0"/>
          <w:color w:val="auto"/>
          <w:spacing w:val="0"/>
          <w:sz w:val="24"/>
          <w:szCs w:val="24"/>
          <w:highlight w:val="none"/>
          <w:shd w:val="clear" w:color="auto" w:fill="FFFFFF"/>
          <w:lang w:eastAsia="zh-CN"/>
        </w:rPr>
        <w:t>条件书检修</w:t>
      </w:r>
      <w:r>
        <w:rPr>
          <w:rFonts w:hint="eastAsia" w:ascii="宋体" w:hAnsi="宋体" w:eastAsia="宋体" w:cs="宋体"/>
          <w:bCs/>
          <w:i w:val="0"/>
          <w:caps w:val="0"/>
          <w:color w:val="auto"/>
          <w:spacing w:val="0"/>
          <w:sz w:val="24"/>
          <w:szCs w:val="24"/>
          <w:highlight w:val="none"/>
          <w:shd w:val="clear" w:color="auto" w:fill="FFFFFF"/>
        </w:rPr>
        <w:t>内容及要求，投标时</w:t>
      </w:r>
      <w:r>
        <w:rPr>
          <w:rFonts w:hint="eastAsia" w:ascii="宋体" w:hAnsi="宋体" w:cs="宋体"/>
          <w:bCs/>
          <w:i w:val="0"/>
          <w:caps w:val="0"/>
          <w:color w:val="auto"/>
          <w:spacing w:val="0"/>
          <w:sz w:val="24"/>
          <w:szCs w:val="24"/>
          <w:highlight w:val="none"/>
          <w:shd w:val="clear" w:color="auto" w:fill="FFFFFF"/>
          <w:lang w:eastAsia="zh-CN"/>
        </w:rPr>
        <w:t>投标方</w:t>
      </w:r>
      <w:r>
        <w:rPr>
          <w:rFonts w:hint="eastAsia" w:ascii="宋体" w:hAnsi="宋体" w:eastAsia="宋体" w:cs="宋体"/>
          <w:bCs/>
          <w:i w:val="0"/>
          <w:caps w:val="0"/>
          <w:color w:val="auto"/>
          <w:spacing w:val="0"/>
          <w:sz w:val="24"/>
          <w:szCs w:val="24"/>
          <w:highlight w:val="none"/>
          <w:shd w:val="clear" w:color="auto" w:fill="FFFFFF"/>
        </w:rPr>
        <w:t>如未对本</w:t>
      </w:r>
      <w:r>
        <w:rPr>
          <w:rFonts w:hint="eastAsia" w:ascii="宋体" w:hAnsi="宋体" w:cs="宋体"/>
          <w:bCs/>
          <w:i w:val="0"/>
          <w:caps w:val="0"/>
          <w:color w:val="auto"/>
          <w:spacing w:val="0"/>
          <w:sz w:val="24"/>
          <w:szCs w:val="24"/>
          <w:highlight w:val="none"/>
          <w:shd w:val="clear" w:color="auto" w:fill="FFFFFF"/>
          <w:lang w:eastAsia="zh-CN"/>
        </w:rPr>
        <w:t>条件</w:t>
      </w:r>
      <w:r>
        <w:rPr>
          <w:rFonts w:hint="eastAsia" w:ascii="宋体" w:hAnsi="宋体" w:eastAsia="宋体" w:cs="宋体"/>
          <w:bCs/>
          <w:i w:val="0"/>
          <w:caps w:val="0"/>
          <w:color w:val="auto"/>
          <w:spacing w:val="0"/>
          <w:sz w:val="24"/>
          <w:szCs w:val="24"/>
          <w:highlight w:val="none"/>
          <w:shd w:val="clear" w:color="auto" w:fill="FFFFFF"/>
        </w:rPr>
        <w:t>书提出偏差，将认为</w:t>
      </w:r>
      <w:r>
        <w:rPr>
          <w:rFonts w:hint="eastAsia" w:ascii="宋体" w:hAnsi="宋体" w:cs="宋体"/>
          <w:bCs/>
          <w:i w:val="0"/>
          <w:caps w:val="0"/>
          <w:color w:val="auto"/>
          <w:spacing w:val="0"/>
          <w:sz w:val="24"/>
          <w:szCs w:val="24"/>
          <w:highlight w:val="none"/>
          <w:shd w:val="clear" w:color="auto" w:fill="FFFFFF"/>
          <w:lang w:eastAsia="zh-CN"/>
        </w:rPr>
        <w:t>投标方</w:t>
      </w:r>
      <w:r>
        <w:rPr>
          <w:rFonts w:hint="eastAsia" w:ascii="宋体" w:hAnsi="宋体" w:eastAsia="宋体" w:cs="宋体"/>
          <w:bCs/>
          <w:i w:val="0"/>
          <w:caps w:val="0"/>
          <w:color w:val="auto"/>
          <w:spacing w:val="0"/>
          <w:sz w:val="24"/>
          <w:szCs w:val="24"/>
          <w:highlight w:val="none"/>
          <w:shd w:val="clear" w:color="auto" w:fill="FFFFFF"/>
        </w:rPr>
        <w:t>提供的</w:t>
      </w:r>
      <w:r>
        <w:rPr>
          <w:rFonts w:hint="eastAsia" w:ascii="宋体" w:hAnsi="宋体" w:cs="宋体"/>
          <w:bCs/>
          <w:i w:val="0"/>
          <w:caps w:val="0"/>
          <w:color w:val="auto"/>
          <w:spacing w:val="0"/>
          <w:sz w:val="24"/>
          <w:szCs w:val="24"/>
          <w:highlight w:val="none"/>
          <w:shd w:val="clear" w:color="auto" w:fill="FFFFFF"/>
          <w:lang w:eastAsia="zh-CN"/>
        </w:rPr>
        <w:t>设备及服务</w:t>
      </w:r>
      <w:r>
        <w:rPr>
          <w:rFonts w:hint="eastAsia" w:ascii="宋体" w:hAnsi="宋体" w:eastAsia="宋体" w:cs="宋体"/>
          <w:bCs/>
          <w:i w:val="0"/>
          <w:caps w:val="0"/>
          <w:color w:val="auto"/>
          <w:spacing w:val="0"/>
          <w:sz w:val="24"/>
          <w:szCs w:val="24"/>
          <w:highlight w:val="none"/>
          <w:shd w:val="clear" w:color="auto" w:fill="FFFFFF"/>
        </w:rPr>
        <w:t>符合本</w:t>
      </w:r>
      <w:r>
        <w:rPr>
          <w:rFonts w:hint="eastAsia" w:ascii="宋体" w:hAnsi="宋体" w:cs="宋体"/>
          <w:bCs/>
          <w:i w:val="0"/>
          <w:caps w:val="0"/>
          <w:color w:val="auto"/>
          <w:spacing w:val="0"/>
          <w:sz w:val="24"/>
          <w:szCs w:val="24"/>
          <w:highlight w:val="none"/>
          <w:shd w:val="clear" w:color="auto" w:fill="FFFFFF"/>
          <w:lang w:eastAsia="zh-CN"/>
        </w:rPr>
        <w:t>技术条件</w:t>
      </w:r>
      <w:r>
        <w:rPr>
          <w:rFonts w:hint="eastAsia" w:ascii="宋体" w:hAnsi="宋体" w:eastAsia="宋体" w:cs="宋体"/>
          <w:bCs/>
          <w:i w:val="0"/>
          <w:caps w:val="0"/>
          <w:color w:val="auto"/>
          <w:spacing w:val="0"/>
          <w:sz w:val="24"/>
          <w:szCs w:val="24"/>
          <w:highlight w:val="none"/>
          <w:shd w:val="clear" w:color="auto" w:fill="FFFFFF"/>
        </w:rPr>
        <w:t>书和标准的要求</w:t>
      </w:r>
      <w:r>
        <w:rPr>
          <w:rFonts w:hint="eastAsia" w:ascii="宋体" w:hAnsi="宋体" w:eastAsia="宋体" w:cs="宋体"/>
          <w:bCs/>
          <w:i w:val="0"/>
          <w:caps w:val="0"/>
          <w:color w:val="auto"/>
          <w:spacing w:val="0"/>
          <w:sz w:val="24"/>
          <w:szCs w:val="24"/>
          <w:highlight w:val="none"/>
          <w:shd w:val="clear" w:color="auto" w:fill="FFFFFF"/>
          <w:lang w:eastAsia="zh-CN"/>
        </w:rPr>
        <w:t>。</w:t>
      </w:r>
    </w:p>
    <w:p>
      <w:pPr>
        <w:numPr>
          <w:ilvl w:val="0"/>
          <w:numId w:val="3"/>
        </w:numPr>
        <w:spacing w:before="157" w:beforeLines="50" w:line="360" w:lineRule="auto"/>
        <w:ind w:left="425" w:hanging="425"/>
        <w:rPr>
          <w:rFonts w:hint="eastAsia" w:ascii="宋体" w:hAnsi="宋体" w:eastAsia="宋体" w:cs="Times New Roman"/>
          <w:b/>
          <w:bCs/>
          <w:color w:val="auto"/>
          <w:sz w:val="24"/>
          <w:szCs w:val="24"/>
          <w:highlight w:val="none"/>
        </w:rPr>
      </w:pPr>
      <w:r>
        <w:rPr>
          <w:rFonts w:hint="eastAsia" w:ascii="宋体" w:hAnsi="宋体" w:eastAsia="宋体" w:cs="Times New Roman"/>
          <w:b/>
          <w:bCs/>
          <w:sz w:val="24"/>
          <w:szCs w:val="24"/>
          <w:highlight w:val="none"/>
        </w:rPr>
        <w:t>概述</w:t>
      </w:r>
    </w:p>
    <w:p>
      <w:pPr>
        <w:numPr>
          <w:ilvl w:val="1"/>
          <w:numId w:val="3"/>
        </w:numPr>
        <w:spacing w:line="360" w:lineRule="auto"/>
        <w:rPr>
          <w:rFonts w:hint="eastAsia" w:ascii="宋体" w:hAnsi="宋体" w:eastAsia="宋体" w:cs="Times New Roman"/>
          <w:b/>
          <w:bCs/>
          <w:color w:val="auto"/>
          <w:sz w:val="24"/>
          <w:szCs w:val="24"/>
          <w:highlight w:val="none"/>
        </w:rPr>
      </w:pPr>
      <w:r>
        <w:rPr>
          <w:rFonts w:hint="eastAsia" w:ascii="宋体" w:hAnsi="宋体" w:cs="Times New Roman"/>
          <w:b/>
          <w:bCs/>
          <w:color w:val="auto"/>
          <w:sz w:val="24"/>
          <w:szCs w:val="24"/>
          <w:highlight w:val="none"/>
          <w:lang w:val="en-US" w:eastAsia="zh-CN"/>
        </w:rPr>
        <w:t>四川</w:t>
      </w:r>
      <w:r>
        <w:rPr>
          <w:rFonts w:hint="eastAsia" w:ascii="宋体" w:hAnsi="宋体" w:cs="Times New Roman"/>
          <w:b/>
          <w:bCs/>
          <w:color w:val="auto"/>
          <w:sz w:val="24"/>
          <w:szCs w:val="24"/>
          <w:highlight w:val="none"/>
          <w:lang w:eastAsia="zh-CN"/>
        </w:rPr>
        <w:t>泸州川南发电有限责任公司</w:t>
      </w:r>
      <w:r>
        <w:rPr>
          <w:rFonts w:hint="eastAsia" w:ascii="宋体" w:hAnsi="宋体" w:eastAsia="宋体" w:cs="Times New Roman"/>
          <w:b/>
          <w:bCs/>
          <w:color w:val="auto"/>
          <w:sz w:val="24"/>
          <w:szCs w:val="24"/>
          <w:highlight w:val="none"/>
          <w:lang w:eastAsia="zh-CN"/>
        </w:rPr>
        <w:t>概况</w:t>
      </w:r>
    </w:p>
    <w:p>
      <w:pPr>
        <w:numPr>
          <w:ilvl w:val="-1"/>
          <w:numId w:val="0"/>
        </w:numPr>
        <w:snapToGrid/>
        <w:spacing w:line="360" w:lineRule="auto"/>
        <w:ind w:left="0" w:firstLine="480" w:firstLineChars="20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lang w:eastAsia="zh-CN"/>
        </w:rPr>
        <w:t>四川</w:t>
      </w:r>
      <w:r>
        <w:rPr>
          <w:rFonts w:hint="eastAsia" w:ascii="宋体" w:hAnsi="宋体" w:cs="Times New Roman"/>
          <w:sz w:val="24"/>
          <w:szCs w:val="24"/>
          <w:highlight w:val="none"/>
          <w:lang w:eastAsia="zh-CN"/>
        </w:rPr>
        <w:t>泸州川南发电有限责任公司</w:t>
      </w:r>
      <w:r>
        <w:rPr>
          <w:rFonts w:hint="eastAsia" w:ascii="宋体" w:hAnsi="宋体" w:eastAsia="宋体" w:cs="Times New Roman"/>
          <w:sz w:val="24"/>
          <w:szCs w:val="24"/>
          <w:highlight w:val="none"/>
        </w:rPr>
        <w:t>厂址位于泸州市江阳区江北镇，西北距江北镇约600m，东北距泸州市区边缘直线距离约15km，公路距离约30km，东面距纳溪区约7.5km，南面距长江北岸约2km</w:t>
      </w:r>
      <w:r>
        <w:rPr>
          <w:rFonts w:hint="eastAsia" w:ascii="宋体" w:hAnsi="宋体" w:cs="Times New Roman"/>
          <w:sz w:val="24"/>
          <w:szCs w:val="24"/>
          <w:highlight w:val="none"/>
          <w:lang w:eastAsia="zh-CN"/>
        </w:rPr>
        <w:t>，公司装机容量</w:t>
      </w:r>
      <w:r>
        <w:rPr>
          <w:rFonts w:hint="eastAsia" w:ascii="宋体" w:hAnsi="宋体" w:cs="Times New Roman"/>
          <w:sz w:val="24"/>
          <w:szCs w:val="24"/>
          <w:highlight w:val="none"/>
          <w:lang w:val="en-US" w:eastAsia="zh-CN"/>
        </w:rPr>
        <w:t>2×600MW亚临界机组，分别于2007底和2008年初投入商业营运</w:t>
      </w:r>
      <w:r>
        <w:rPr>
          <w:rFonts w:hint="eastAsia" w:ascii="宋体" w:hAnsi="宋体" w:eastAsia="宋体" w:cs="Times New Roman"/>
          <w:sz w:val="24"/>
          <w:szCs w:val="24"/>
          <w:highlight w:val="none"/>
        </w:rPr>
        <w:t>。</w:t>
      </w:r>
    </w:p>
    <w:p>
      <w:pPr>
        <w:numPr>
          <w:ilvl w:val="1"/>
          <w:numId w:val="3"/>
        </w:numPr>
        <w:spacing w:line="360" w:lineRule="auto"/>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lang w:eastAsia="zh-CN"/>
        </w:rPr>
        <w:t>环境条件</w:t>
      </w:r>
    </w:p>
    <w:p>
      <w:pPr>
        <w:snapToGrid w:val="0"/>
        <w:spacing w:line="360" w:lineRule="auto"/>
        <w:ind w:firstLine="56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多年平均气压</w:t>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973.2 hpa</w:t>
      </w:r>
    </w:p>
    <w:p>
      <w:pPr>
        <w:snapToGrid w:val="0"/>
        <w:spacing w:line="360" w:lineRule="auto"/>
        <w:ind w:firstLine="56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多年最高气压</w:t>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1001.4 hpa（1969年4月4日）</w:t>
      </w:r>
    </w:p>
    <w:p>
      <w:pPr>
        <w:snapToGrid w:val="0"/>
        <w:spacing w:line="360" w:lineRule="auto"/>
        <w:ind w:firstLine="56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多年最低气压</w:t>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946.8 hpa（1991年5月24日）</w:t>
      </w:r>
    </w:p>
    <w:p>
      <w:pPr>
        <w:snapToGrid w:val="0"/>
        <w:spacing w:line="360" w:lineRule="auto"/>
        <w:ind w:firstLine="56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多年平均气温</w:t>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17.6℃</w:t>
      </w:r>
    </w:p>
    <w:p>
      <w:pPr>
        <w:snapToGrid w:val="0"/>
        <w:spacing w:line="360" w:lineRule="auto"/>
        <w:ind w:firstLine="56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多年最高气温</w:t>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40.2℃（1972年8月26日）</w:t>
      </w:r>
    </w:p>
    <w:p>
      <w:pPr>
        <w:snapToGrid w:val="0"/>
        <w:spacing w:line="360" w:lineRule="auto"/>
        <w:ind w:firstLine="56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多年最低气温</w:t>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-1.6℃（1989年1月14日）</w:t>
      </w:r>
    </w:p>
    <w:p>
      <w:pPr>
        <w:snapToGrid w:val="0"/>
        <w:spacing w:line="360" w:lineRule="auto"/>
        <w:ind w:firstLine="56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最热月平均最高气温（8月）</w:t>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31.4℃</w:t>
      </w:r>
    </w:p>
    <w:p>
      <w:pPr>
        <w:snapToGrid w:val="0"/>
        <w:spacing w:line="360" w:lineRule="auto"/>
        <w:ind w:firstLine="56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最近10a最大日温差</w:t>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16.5℃（1998年4月24日）</w:t>
      </w:r>
    </w:p>
    <w:p>
      <w:pPr>
        <w:snapToGrid w:val="0"/>
        <w:spacing w:line="360" w:lineRule="auto"/>
        <w:ind w:firstLine="56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多年平均相对湿度</w:t>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84%</w:t>
      </w:r>
    </w:p>
    <w:p>
      <w:pPr>
        <w:snapToGrid w:val="0"/>
        <w:spacing w:line="360" w:lineRule="auto"/>
        <w:ind w:firstLine="56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最大冻土深度                          该地区无冻土</w:t>
      </w:r>
    </w:p>
    <w:p>
      <w:pPr>
        <w:snapToGrid w:val="0"/>
        <w:spacing w:line="360" w:lineRule="auto"/>
        <w:ind w:firstLine="56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多年年平均降雨量：</w:t>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 xml:space="preserve">          1022.7mm</w:t>
      </w:r>
    </w:p>
    <w:p>
      <w:pPr>
        <w:snapToGrid w:val="0"/>
        <w:spacing w:line="360" w:lineRule="auto"/>
        <w:ind w:firstLine="56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多年一日最大降雨量：</w:t>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 xml:space="preserve">       </w:t>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 xml:space="preserve">  160.5mm</w:t>
      </w:r>
    </w:p>
    <w:p>
      <w:pPr>
        <w:snapToGrid w:val="0"/>
        <w:spacing w:line="360" w:lineRule="auto"/>
        <w:ind w:firstLine="56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多年平均风速：</w:t>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 xml:space="preserve">        1.2m/s</w:t>
      </w:r>
    </w:p>
    <w:p>
      <w:pPr>
        <w:snapToGrid w:val="0"/>
        <w:spacing w:line="360" w:lineRule="auto"/>
        <w:ind w:firstLine="56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离地10m高50a一遇10min平均最大风速：</w:t>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24.0m/s</w:t>
      </w:r>
    </w:p>
    <w:p>
      <w:pPr>
        <w:snapToGrid w:val="0"/>
        <w:spacing w:line="360" w:lineRule="auto"/>
        <w:ind w:firstLine="56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离地10m高30 a一遇10min平均最大风速：</w:t>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21.9m/s</w:t>
      </w:r>
    </w:p>
    <w:p>
      <w:pPr>
        <w:numPr>
          <w:ilvl w:val="-1"/>
          <w:numId w:val="0"/>
        </w:numPr>
        <w:snapToGrid w:val="0"/>
        <w:spacing w:line="360" w:lineRule="auto"/>
        <w:ind w:left="0" w:firstLine="567"/>
        <w:rPr>
          <w:rFonts w:hint="eastAsia" w:ascii="宋体" w:hAnsi="宋体"/>
          <w:b/>
          <w:color w:val="000000"/>
          <w:sz w:val="24"/>
          <w:szCs w:val="24"/>
          <w:highlight w:val="none"/>
        </w:rPr>
      </w:pPr>
      <w:r>
        <w:rPr>
          <w:rFonts w:hint="eastAsia" w:asciiTheme="minorEastAsia" w:hAnsiTheme="minorEastAsia" w:eastAsiaTheme="minorEastAsia" w:cstheme="minorEastAsia"/>
          <w:sz w:val="24"/>
          <w:szCs w:val="24"/>
          <w:highlight w:val="none"/>
        </w:rPr>
        <w:t>多年年平均降水日数：</w:t>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ab/>
      </w:r>
      <w:r>
        <w:rPr>
          <w:rFonts w:hint="eastAsia" w:asciiTheme="minorEastAsia" w:hAnsiTheme="minorEastAsia" w:eastAsiaTheme="minorEastAsia" w:cstheme="minorEastAsia"/>
          <w:sz w:val="24"/>
          <w:szCs w:val="24"/>
          <w:highlight w:val="none"/>
        </w:rPr>
        <w:t>159.9d</w:t>
      </w:r>
    </w:p>
    <w:p>
      <w:pPr>
        <w:numPr>
          <w:ilvl w:val="1"/>
          <w:numId w:val="3"/>
        </w:numPr>
        <w:spacing w:line="360" w:lineRule="auto"/>
        <w:rPr>
          <w:rFonts w:hint="eastAsia" w:ascii="宋体" w:hAnsi="宋体"/>
          <w:b/>
          <w:bCs w:val="0"/>
          <w:color w:val="000000"/>
          <w:sz w:val="24"/>
          <w:szCs w:val="24"/>
          <w:highlight w:val="none"/>
        </w:rPr>
      </w:pPr>
      <w:r>
        <w:rPr>
          <w:rFonts w:hint="eastAsia" w:ascii="宋体" w:hAnsi="宋体"/>
          <w:b/>
          <w:bCs w:val="0"/>
          <w:color w:val="000000"/>
          <w:sz w:val="24"/>
          <w:szCs w:val="24"/>
          <w:highlight w:val="none"/>
          <w:lang w:eastAsia="zh-CN"/>
        </w:rPr>
        <w:t>设备概况</w:t>
      </w:r>
    </w:p>
    <w:p>
      <w:pPr>
        <w:numPr>
          <w:ilvl w:val="2"/>
          <w:numId w:val="3"/>
        </w:numPr>
        <w:spacing w:line="360" w:lineRule="auto"/>
        <w:rPr>
          <w:rFonts w:hint="eastAsia" w:ascii="宋体" w:hAnsi="宋体" w:eastAsia="宋体" w:cs="宋体"/>
          <w:b/>
          <w:color w:val="000000"/>
          <w:sz w:val="24"/>
          <w:szCs w:val="24"/>
          <w:highlight w:val="none"/>
        </w:rPr>
      </w:pPr>
      <w:r>
        <w:rPr>
          <w:rFonts w:hint="eastAsia" w:ascii="宋体" w:hAnsi="宋体" w:eastAsia="宋体" w:cs="宋体"/>
          <w:sz w:val="24"/>
          <w:szCs w:val="24"/>
          <w:highlight w:val="none"/>
          <w:lang w:eastAsia="zh-CN"/>
        </w:rPr>
        <w:t>招标方</w:t>
      </w:r>
      <w:r>
        <w:rPr>
          <w:rFonts w:hint="eastAsia" w:ascii="宋体" w:hAnsi="宋体" w:eastAsia="宋体" w:cs="宋体"/>
          <w:sz w:val="24"/>
          <w:szCs w:val="24"/>
          <w:highlight w:val="none"/>
        </w:rPr>
        <w:t>发电机由东方电机股份有限公司生产，型号为QFSN-600-2-22C。其引进日本日立公司技术，东方/日立合作设计，设计性能由日立公司保证，为汽轮机直接拖动的隐极式、二极、三相同步发电机。发电机</w:t>
      </w:r>
      <w:r>
        <w:rPr>
          <w:rFonts w:hint="eastAsia" w:ascii="宋体" w:hAnsi="宋体" w:eastAsia="宋体" w:cs="宋体"/>
          <w:sz w:val="24"/>
          <w:szCs w:val="24"/>
          <w:highlight w:val="none"/>
          <w:lang w:eastAsia="zh-CN"/>
        </w:rPr>
        <w:t>励磁</w:t>
      </w:r>
      <w:r>
        <w:rPr>
          <w:rFonts w:hint="eastAsia" w:ascii="宋体" w:hAnsi="宋体" w:eastAsia="宋体" w:cs="宋体"/>
          <w:sz w:val="24"/>
          <w:szCs w:val="24"/>
          <w:highlight w:val="none"/>
        </w:rPr>
        <w:t>采用</w:t>
      </w:r>
      <w:r>
        <w:rPr>
          <w:rFonts w:hint="eastAsia" w:ascii="宋体" w:hAnsi="宋体" w:eastAsia="宋体" w:cs="宋体"/>
          <w:b/>
          <w:bCs/>
          <w:sz w:val="24"/>
          <w:szCs w:val="24"/>
          <w:highlight w:val="none"/>
        </w:rPr>
        <w:t>GE公司EX2100静自并励励磁系统</w:t>
      </w:r>
      <w:r>
        <w:rPr>
          <w:rFonts w:hint="eastAsia" w:ascii="宋体" w:hAnsi="宋体" w:eastAsia="宋体" w:cs="宋体"/>
          <w:sz w:val="24"/>
          <w:szCs w:val="24"/>
          <w:highlight w:val="none"/>
        </w:rPr>
        <w:t>；发电机-变压器（主变、高厂变、脱硫变、励磁变）采用单元接线后接入220kV升压站。</w:t>
      </w:r>
      <w:r>
        <w:rPr>
          <w:rFonts w:hint="eastAsia" w:ascii="宋体" w:hAnsi="宋体" w:eastAsia="宋体" w:cs="宋体"/>
          <w:sz w:val="24"/>
          <w:szCs w:val="24"/>
          <w:highlight w:val="none"/>
          <w:lang w:val="en-US" w:eastAsia="zh-CN"/>
        </w:rPr>
        <w:t>#1机组于2007年12月投入商业运行。</w:t>
      </w:r>
    </w:p>
    <w:p>
      <w:pPr>
        <w:tabs>
          <w:tab w:val="left" w:pos="0"/>
          <w:tab w:val="left" w:pos="4675"/>
        </w:tabs>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.3  发电机主要技术参数</w:t>
      </w:r>
      <w:r>
        <w:rPr>
          <w:rFonts w:hint="eastAsia" w:ascii="宋体" w:hAnsi="宋体" w:eastAsia="宋体" w:cs="宋体"/>
          <w:sz w:val="24"/>
          <w:szCs w:val="24"/>
          <w:highlight w:val="none"/>
        </w:rPr>
        <w:tab/>
      </w:r>
      <w:r>
        <w:rPr>
          <w:rFonts w:hint="eastAsia" w:ascii="宋体" w:hAnsi="宋体" w:eastAsia="宋体" w:cs="宋体"/>
          <w:sz w:val="24"/>
          <w:szCs w:val="24"/>
          <w:highlight w:val="none"/>
        </w:rPr>
        <w:tab/>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型    号                QFSN-600-2-22C</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生产厂家                东方电机股份有限公司</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额定功率                600MW  </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最大连续功率            655.2MW</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视在功率                667MVA</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额定电压                22kV</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额定功率因数            0.9(滞后)  </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频率                    50HZ</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额定定子电流            17495A</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额定转速                3000r/min</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冷却方式                水﹑氢﹑氢</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额定氢压                0.414MPa</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最高氢压                0.45MPa</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漏  氢                  ≤12m</w:t>
      </w:r>
      <w:r>
        <w:rPr>
          <w:rFonts w:hint="eastAsia" w:ascii="宋体" w:hAnsi="宋体" w:eastAsia="宋体" w:cs="宋体"/>
          <w:sz w:val="24"/>
          <w:szCs w:val="24"/>
          <w:highlight w:val="none"/>
          <w:vertAlign w:val="superscript"/>
        </w:rPr>
        <w:t>3</w:t>
      </w:r>
      <w:r>
        <w:rPr>
          <w:rFonts w:hint="eastAsia" w:ascii="宋体" w:hAnsi="宋体" w:eastAsia="宋体" w:cs="宋体"/>
          <w:sz w:val="24"/>
          <w:szCs w:val="24"/>
          <w:highlight w:val="none"/>
        </w:rPr>
        <w:t>/d</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出线端子数              6</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发电机d轴同步电抗Xd(饱和值)          184%</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发电机d轴同步电抗Xd(非饱和值)        189.29%</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发电机d轴暂态电抗X’d(饱和值)        24.21%</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发电机d轴暂态电抗X’d(非饱和值)      27.51%</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发电机d轴次暂态电抗X”d(饱和值)      18.26%</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发电机d轴次暂态电抗X”d(非饱和值)    19.85%</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发电机q轴同步电抗Xq(饱和值)          184%</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发电机q轴同步电抗Xq(非饱和值)        189.29%</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发电机q轴暂态电抗X’q(饱和值)        24.21%</w:t>
      </w:r>
    </w:p>
    <w:p>
      <w:pPr>
        <w:tabs>
          <w:tab w:val="left" w:pos="0"/>
          <w:tab w:val="left" w:pos="4678"/>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发电机q轴暂态电抗X’q(非饱和值)       27.51%</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发电机q轴次暂态电抗X”q(饱和值)       18.26%</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发电机q轴次暂态电抗X”q(非饱和值)     19.85%</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发电机负序电抗X</w:t>
      </w:r>
      <w:r>
        <w:rPr>
          <w:rFonts w:hint="eastAsia" w:ascii="宋体" w:hAnsi="宋体" w:eastAsia="宋体" w:cs="宋体"/>
          <w:sz w:val="24"/>
          <w:szCs w:val="24"/>
          <w:highlight w:val="none"/>
          <w:vertAlign w:val="subscript"/>
        </w:rPr>
        <w:t>2</w:t>
      </w:r>
      <w:r>
        <w:rPr>
          <w:rFonts w:hint="eastAsia" w:ascii="宋体" w:hAnsi="宋体" w:eastAsia="宋体" w:cs="宋体"/>
          <w:sz w:val="24"/>
          <w:szCs w:val="24"/>
          <w:highlight w:val="none"/>
        </w:rPr>
        <w:t>（饱和值）              20.45%</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发电机负序电抗X</w:t>
      </w:r>
      <w:r>
        <w:rPr>
          <w:rFonts w:hint="eastAsia" w:ascii="宋体" w:hAnsi="宋体" w:eastAsia="宋体" w:cs="宋体"/>
          <w:sz w:val="24"/>
          <w:szCs w:val="24"/>
          <w:highlight w:val="none"/>
          <w:vertAlign w:val="subscript"/>
        </w:rPr>
        <w:t>2</w:t>
      </w:r>
      <w:r>
        <w:rPr>
          <w:rFonts w:hint="eastAsia" w:ascii="宋体" w:hAnsi="宋体" w:eastAsia="宋体" w:cs="宋体"/>
          <w:sz w:val="24"/>
          <w:szCs w:val="24"/>
          <w:highlight w:val="none"/>
        </w:rPr>
        <w:t>（非饱和值）            22.23%</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发电机零序电抗X</w:t>
      </w:r>
      <w:r>
        <w:rPr>
          <w:rFonts w:hint="eastAsia" w:ascii="宋体" w:hAnsi="宋体" w:eastAsia="宋体" w:cs="宋体"/>
          <w:sz w:val="24"/>
          <w:szCs w:val="24"/>
          <w:highlight w:val="none"/>
          <w:vertAlign w:val="subscript"/>
        </w:rPr>
        <w:t>2</w:t>
      </w:r>
      <w:r>
        <w:rPr>
          <w:rFonts w:hint="eastAsia" w:ascii="宋体" w:hAnsi="宋体" w:eastAsia="宋体" w:cs="宋体"/>
          <w:sz w:val="24"/>
          <w:szCs w:val="24"/>
          <w:highlight w:val="none"/>
        </w:rPr>
        <w:t>（饱和值）              8.81%</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发电机零序电抗X</w:t>
      </w:r>
      <w:r>
        <w:rPr>
          <w:rFonts w:hint="eastAsia" w:ascii="宋体" w:hAnsi="宋体" w:eastAsia="宋体" w:cs="宋体"/>
          <w:sz w:val="24"/>
          <w:szCs w:val="24"/>
          <w:highlight w:val="none"/>
          <w:vertAlign w:val="subscript"/>
        </w:rPr>
        <w:t>2</w:t>
      </w:r>
      <w:r>
        <w:rPr>
          <w:rFonts w:hint="eastAsia" w:ascii="宋体" w:hAnsi="宋体" w:eastAsia="宋体" w:cs="宋体"/>
          <w:sz w:val="24"/>
          <w:szCs w:val="24"/>
          <w:highlight w:val="none"/>
        </w:rPr>
        <w:t>（非饱和值）            9.27%</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发电机转子惯量时间常数Tj               1.562s</w:t>
      </w:r>
    </w:p>
    <w:p>
      <w:pPr>
        <w:tabs>
          <w:tab w:val="left" w:pos="0"/>
          <w:tab w:val="left" w:pos="4675"/>
        </w:tabs>
        <w:spacing w:line="360" w:lineRule="auto"/>
        <w:ind w:firstLine="600" w:firstLineChars="250"/>
        <w:rPr>
          <w:rFonts w:hint="eastAsia" w:ascii="宋体" w:hAnsi="宋体" w:eastAsia="宋体" w:cs="宋体"/>
          <w:sz w:val="24"/>
          <w:szCs w:val="24"/>
          <w:highlight w:val="none"/>
        </w:rPr>
      </w:pPr>
      <w:r>
        <w:rPr>
          <w:rFonts w:hint="eastAsia" w:ascii="宋体" w:hAnsi="宋体" w:eastAsia="宋体" w:cs="宋体"/>
          <w:sz w:val="24"/>
          <w:szCs w:val="24"/>
          <w:highlight w:val="none"/>
        </w:rPr>
        <w:t>超瞬态电抗（保证值）    ≥0.18</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短路比（保证值）        ≥0.58</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转动惯量WR</w:t>
      </w:r>
      <w:r>
        <w:rPr>
          <w:rFonts w:hint="eastAsia" w:ascii="宋体" w:hAnsi="宋体" w:eastAsia="宋体" w:cs="宋体"/>
          <w:sz w:val="24"/>
          <w:szCs w:val="24"/>
          <w:highlight w:val="none"/>
          <w:vertAlign w:val="superscript"/>
        </w:rPr>
        <w:t>2</w:t>
      </w:r>
      <w:r>
        <w:rPr>
          <w:rFonts w:hint="eastAsia" w:ascii="宋体" w:hAnsi="宋体" w:eastAsia="宋体" w:cs="宋体"/>
          <w:sz w:val="24"/>
          <w:szCs w:val="24"/>
          <w:highlight w:val="none"/>
        </w:rPr>
        <w:t xml:space="preserve">             9750kg.m</w:t>
      </w:r>
      <w:r>
        <w:rPr>
          <w:rFonts w:hint="eastAsia" w:ascii="宋体" w:hAnsi="宋体" w:eastAsia="宋体" w:cs="宋体"/>
          <w:sz w:val="24"/>
          <w:szCs w:val="24"/>
          <w:highlight w:val="none"/>
          <w:vertAlign w:val="superscript"/>
        </w:rPr>
        <w:t>2</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飞轮转矩GD</w:t>
      </w:r>
      <w:r>
        <w:rPr>
          <w:rFonts w:hint="eastAsia" w:ascii="宋体" w:hAnsi="宋体" w:eastAsia="宋体" w:cs="宋体"/>
          <w:sz w:val="24"/>
          <w:szCs w:val="24"/>
          <w:highlight w:val="none"/>
          <w:vertAlign w:val="superscript"/>
        </w:rPr>
        <w:t xml:space="preserve">2                          </w:t>
      </w:r>
      <w:r>
        <w:rPr>
          <w:rFonts w:hint="eastAsia" w:ascii="宋体" w:hAnsi="宋体" w:eastAsia="宋体" w:cs="宋体"/>
          <w:sz w:val="24"/>
          <w:szCs w:val="24"/>
          <w:highlight w:val="none"/>
        </w:rPr>
        <w:t>39.0t. m</w:t>
      </w:r>
      <w:r>
        <w:rPr>
          <w:rFonts w:hint="eastAsia" w:ascii="宋体" w:hAnsi="宋体" w:eastAsia="宋体" w:cs="宋体"/>
          <w:sz w:val="24"/>
          <w:szCs w:val="24"/>
          <w:highlight w:val="none"/>
          <w:vertAlign w:val="superscript"/>
        </w:rPr>
        <w:t>2</w:t>
      </w:r>
    </w:p>
    <w:p>
      <w:pPr>
        <w:tabs>
          <w:tab w:val="left" w:pos="0"/>
          <w:tab w:val="left" w:pos="4675"/>
        </w:tabs>
        <w:spacing w:line="360" w:lineRule="auto"/>
        <w:ind w:firstLine="648" w:firstLineChars="27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接线方式：              2-Y</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相数                    3</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绝缘等级                F(注：按B级绝缘温升使用)</w:t>
      </w:r>
    </w:p>
    <w:p>
      <w:pPr>
        <w:ind w:firstLine="54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中性点接地方式          经接地变压器接地</w:t>
      </w:r>
    </w:p>
    <w:p>
      <w:pPr>
        <w:tabs>
          <w:tab w:val="left" w:pos="0"/>
          <w:tab w:val="left" w:pos="4675"/>
        </w:tabs>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.4  励磁系统参数</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励磁厂家              GE</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励磁系统型号          EX2100</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励磁方式：            静态自并励</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励磁电压              400.1V</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励磁电流              4387.34A</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强励顶值电倍数        ≥2</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强励电压响应比        ≥2倍/s</w:t>
      </w:r>
    </w:p>
    <w:p>
      <w:pPr>
        <w:tabs>
          <w:tab w:val="left" w:pos="0"/>
          <w:tab w:val="left" w:pos="4675"/>
        </w:tabs>
        <w:spacing w:line="360" w:lineRule="auto"/>
        <w:ind w:firstLine="648" w:firstLineChars="270"/>
        <w:rPr>
          <w:rFonts w:hint="eastAsia" w:ascii="宋体" w:hAnsi="宋体" w:eastAsia="宋体" w:cs="宋体"/>
          <w:sz w:val="24"/>
          <w:szCs w:val="24"/>
          <w:highlight w:val="none"/>
        </w:rPr>
      </w:pPr>
      <w:r>
        <w:rPr>
          <w:rFonts w:hint="eastAsia" w:ascii="宋体" w:hAnsi="宋体" w:eastAsia="宋体" w:cs="宋体"/>
          <w:sz w:val="24"/>
          <w:szCs w:val="24"/>
          <w:highlight w:val="none"/>
        </w:rPr>
        <w:t>允许强励时间          20s</w:t>
      </w:r>
    </w:p>
    <w:p>
      <w:pPr>
        <w:tabs>
          <w:tab w:val="left" w:pos="0"/>
          <w:tab w:val="left" w:pos="4675"/>
        </w:tabs>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.5  主变参数</w:t>
      </w:r>
    </w:p>
    <w:p>
      <w:pPr>
        <w:keepNext w:val="0"/>
        <w:keepLines w:val="0"/>
        <w:pageBreakBefore w:val="0"/>
        <w:widowControl w:val="0"/>
        <w:kinsoku/>
        <w:wordWrap/>
        <w:overflowPunct/>
        <w:topLinePunct w:val="0"/>
        <w:autoSpaceDE/>
        <w:autoSpaceDN/>
        <w:bidi w:val="0"/>
        <w:adjustRightInd/>
        <w:snapToGrid/>
        <w:spacing w:line="360" w:lineRule="auto"/>
        <w:ind w:firstLine="648" w:firstLineChars="27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型式：                户外，三相双绕组，无载调压，强迫油循环风冷（OFAF）、</w:t>
      </w:r>
    </w:p>
    <w:p>
      <w:pPr>
        <w:keepNext w:val="0"/>
        <w:keepLines w:val="0"/>
        <w:pageBreakBefore w:val="0"/>
        <w:widowControl w:val="0"/>
        <w:kinsoku/>
        <w:wordWrap/>
        <w:overflowPunct/>
        <w:topLinePunct w:val="0"/>
        <w:autoSpaceDE/>
        <w:autoSpaceDN/>
        <w:bidi w:val="0"/>
        <w:adjustRightInd/>
        <w:snapToGrid/>
        <w:spacing w:line="360" w:lineRule="auto"/>
        <w:ind w:firstLine="648" w:firstLineChars="27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低损耗铜芯变压器</w:t>
      </w:r>
    </w:p>
    <w:p>
      <w:pPr>
        <w:keepNext w:val="0"/>
        <w:keepLines w:val="0"/>
        <w:pageBreakBefore w:val="0"/>
        <w:widowControl w:val="0"/>
        <w:kinsoku/>
        <w:wordWrap/>
        <w:overflowPunct/>
        <w:topLinePunct w:val="0"/>
        <w:autoSpaceDE/>
        <w:autoSpaceDN/>
        <w:bidi w:val="0"/>
        <w:adjustRightInd/>
        <w:snapToGrid/>
        <w:spacing w:line="360" w:lineRule="auto"/>
        <w:ind w:firstLine="648" w:firstLineChars="27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型号：                SFP-720000/220</w:t>
      </w:r>
    </w:p>
    <w:p>
      <w:pPr>
        <w:keepNext w:val="0"/>
        <w:keepLines w:val="0"/>
        <w:pageBreakBefore w:val="0"/>
        <w:widowControl w:val="0"/>
        <w:kinsoku/>
        <w:wordWrap/>
        <w:overflowPunct/>
        <w:topLinePunct w:val="0"/>
        <w:autoSpaceDE/>
        <w:autoSpaceDN/>
        <w:bidi w:val="0"/>
        <w:adjustRightInd/>
        <w:snapToGrid/>
        <w:spacing w:line="360" w:lineRule="auto"/>
        <w:ind w:firstLine="648" w:firstLineChars="27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额定容量：            720MVA</w:t>
      </w:r>
    </w:p>
    <w:p>
      <w:pPr>
        <w:keepNext w:val="0"/>
        <w:keepLines w:val="0"/>
        <w:pageBreakBefore w:val="0"/>
        <w:widowControl w:val="0"/>
        <w:kinsoku/>
        <w:wordWrap/>
        <w:overflowPunct/>
        <w:topLinePunct w:val="0"/>
        <w:autoSpaceDE/>
        <w:autoSpaceDN/>
        <w:bidi w:val="0"/>
        <w:adjustRightInd/>
        <w:snapToGrid/>
        <w:spacing w:line="360" w:lineRule="auto"/>
        <w:ind w:firstLine="648" w:firstLineChars="27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额定电压：            242 ±2X2.5 % / 22kV </w:t>
      </w:r>
    </w:p>
    <w:p>
      <w:pPr>
        <w:keepNext w:val="0"/>
        <w:keepLines w:val="0"/>
        <w:pageBreakBefore w:val="0"/>
        <w:widowControl w:val="0"/>
        <w:kinsoku/>
        <w:wordWrap/>
        <w:overflowPunct/>
        <w:topLinePunct w:val="0"/>
        <w:autoSpaceDE/>
        <w:autoSpaceDN/>
        <w:bidi w:val="0"/>
        <w:adjustRightInd/>
        <w:snapToGrid/>
        <w:spacing w:line="360" w:lineRule="auto"/>
        <w:ind w:firstLine="648" w:firstLineChars="27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短路阻抗：            Ud = 14.49 %</w:t>
      </w:r>
    </w:p>
    <w:p>
      <w:pPr>
        <w:keepNext w:val="0"/>
        <w:keepLines w:val="0"/>
        <w:pageBreakBefore w:val="0"/>
        <w:widowControl w:val="0"/>
        <w:kinsoku/>
        <w:wordWrap/>
        <w:overflowPunct/>
        <w:topLinePunct w:val="0"/>
        <w:autoSpaceDE/>
        <w:autoSpaceDN/>
        <w:bidi w:val="0"/>
        <w:adjustRightInd/>
        <w:snapToGrid/>
        <w:spacing w:line="360" w:lineRule="auto"/>
        <w:ind w:firstLine="648" w:firstLineChars="27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连接组：              YNd11</w:t>
      </w:r>
    </w:p>
    <w:p>
      <w:pPr>
        <w:keepNext w:val="0"/>
        <w:keepLines w:val="0"/>
        <w:pageBreakBefore w:val="0"/>
        <w:widowControl w:val="0"/>
        <w:kinsoku/>
        <w:wordWrap/>
        <w:overflowPunct/>
        <w:topLinePunct w:val="0"/>
        <w:autoSpaceDE/>
        <w:autoSpaceDN/>
        <w:bidi w:val="0"/>
        <w:adjustRightInd/>
        <w:snapToGrid/>
        <w:spacing w:line="360" w:lineRule="auto"/>
        <w:ind w:firstLine="648" w:firstLineChars="27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厂家：                重庆ABB变压器公司</w:t>
      </w:r>
    </w:p>
    <w:p>
      <w:pPr>
        <w:rPr>
          <w:rFonts w:hint="eastAsia" w:ascii="宋体" w:hAnsi="宋体" w:eastAsia="宋体" w:cs="宋体"/>
          <w:sz w:val="24"/>
          <w:szCs w:val="24"/>
          <w:highlight w:val="none"/>
        </w:rPr>
      </w:pPr>
    </w:p>
    <w:p>
      <w:pPr>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 xml:space="preserve">  励磁变参数</w:t>
      </w:r>
    </w:p>
    <w:p>
      <w:pPr>
        <w:keepNext w:val="0"/>
        <w:keepLines w:val="0"/>
        <w:pageBreakBefore w:val="0"/>
        <w:widowControl w:val="0"/>
        <w:kinsoku/>
        <w:wordWrap/>
        <w:overflowPunct/>
        <w:topLinePunct w:val="0"/>
        <w:autoSpaceDE/>
        <w:autoSpaceDN/>
        <w:bidi w:val="0"/>
        <w:adjustRightInd/>
        <w:snapToGrid/>
        <w:spacing w:line="360" w:lineRule="auto"/>
        <w:ind w:firstLine="648" w:firstLineChars="27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型号：               ZSCB9-6600/22</w:t>
      </w:r>
    </w:p>
    <w:p>
      <w:pPr>
        <w:keepNext w:val="0"/>
        <w:keepLines w:val="0"/>
        <w:pageBreakBefore w:val="0"/>
        <w:widowControl w:val="0"/>
        <w:kinsoku/>
        <w:wordWrap/>
        <w:overflowPunct/>
        <w:topLinePunct w:val="0"/>
        <w:autoSpaceDE/>
        <w:autoSpaceDN/>
        <w:bidi w:val="0"/>
        <w:adjustRightInd/>
        <w:snapToGrid/>
        <w:spacing w:line="360" w:lineRule="auto"/>
        <w:ind w:firstLine="648" w:firstLineChars="27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额定容量：           6600kVA</w:t>
      </w:r>
    </w:p>
    <w:p>
      <w:pPr>
        <w:keepNext w:val="0"/>
        <w:keepLines w:val="0"/>
        <w:pageBreakBefore w:val="0"/>
        <w:widowControl w:val="0"/>
        <w:kinsoku/>
        <w:wordWrap/>
        <w:overflowPunct/>
        <w:topLinePunct w:val="0"/>
        <w:autoSpaceDE/>
        <w:autoSpaceDN/>
        <w:bidi w:val="0"/>
        <w:adjustRightInd/>
        <w:snapToGrid/>
        <w:spacing w:line="360" w:lineRule="auto"/>
        <w:ind w:firstLine="648" w:firstLineChars="27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额定电压：           22/0.86kV </w:t>
      </w:r>
    </w:p>
    <w:p>
      <w:pPr>
        <w:keepNext w:val="0"/>
        <w:keepLines w:val="0"/>
        <w:pageBreakBefore w:val="0"/>
        <w:widowControl w:val="0"/>
        <w:kinsoku/>
        <w:wordWrap/>
        <w:overflowPunct/>
        <w:topLinePunct w:val="0"/>
        <w:autoSpaceDE/>
        <w:autoSpaceDN/>
        <w:bidi w:val="0"/>
        <w:adjustRightInd/>
        <w:snapToGrid/>
        <w:spacing w:line="360" w:lineRule="auto"/>
        <w:ind w:firstLine="648" w:firstLineChars="27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阻抗电压：           Ud = 7.61 % </w:t>
      </w:r>
    </w:p>
    <w:p>
      <w:pPr>
        <w:keepNext w:val="0"/>
        <w:keepLines w:val="0"/>
        <w:pageBreakBefore w:val="0"/>
        <w:widowControl w:val="0"/>
        <w:kinsoku/>
        <w:wordWrap/>
        <w:overflowPunct/>
        <w:topLinePunct w:val="0"/>
        <w:autoSpaceDE/>
        <w:autoSpaceDN/>
        <w:bidi w:val="0"/>
        <w:adjustRightInd/>
        <w:snapToGrid/>
        <w:spacing w:line="360" w:lineRule="auto"/>
        <w:ind w:firstLine="648" w:firstLineChars="27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连接组：             Yd11  </w:t>
      </w:r>
    </w:p>
    <w:p>
      <w:pPr>
        <w:keepNext w:val="0"/>
        <w:keepLines w:val="0"/>
        <w:pageBreakBefore w:val="0"/>
        <w:widowControl w:val="0"/>
        <w:kinsoku/>
        <w:wordWrap/>
        <w:overflowPunct/>
        <w:topLinePunct w:val="0"/>
        <w:autoSpaceDE/>
        <w:autoSpaceDN/>
        <w:bidi w:val="0"/>
        <w:adjustRightInd/>
        <w:snapToGrid/>
        <w:spacing w:line="360" w:lineRule="auto"/>
        <w:ind w:firstLine="648" w:firstLineChars="27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厂家：               顺特电气</w:t>
      </w:r>
    </w:p>
    <w:p>
      <w:pPr>
        <w:pStyle w:val="6"/>
        <w:rPr>
          <w:rFonts w:hint="eastAsia" w:ascii="宋体" w:hAnsi="宋体" w:eastAsia="宋体" w:cs="宋体"/>
          <w:szCs w:val="24"/>
          <w:highlight w:val="none"/>
        </w:rPr>
      </w:pP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eastAsia="zh-CN"/>
        </w:rPr>
        <w:t>发电机</w:t>
      </w:r>
      <w:r>
        <w:rPr>
          <w:rFonts w:hint="eastAsia" w:ascii="宋体" w:hAnsi="宋体" w:eastAsia="宋体" w:cs="宋体"/>
          <w:sz w:val="24"/>
          <w:szCs w:val="24"/>
          <w:highlight w:val="none"/>
          <w:lang w:val="en-US" w:eastAsia="zh-CN"/>
        </w:rPr>
        <w:t>PT、CT、转子分流器</w:t>
      </w:r>
    </w:p>
    <w:p>
      <w:pPr>
        <w:tabs>
          <w:tab w:val="left" w:pos="0"/>
          <w:tab w:val="left" w:pos="4675"/>
        </w:tabs>
        <w:spacing w:line="360" w:lineRule="auto"/>
        <w:ind w:firstLine="648" w:firstLineChars="27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发电机定子CT变比：25000/5A</w:t>
      </w:r>
    </w:p>
    <w:p>
      <w:pPr>
        <w:tabs>
          <w:tab w:val="left" w:pos="0"/>
          <w:tab w:val="left" w:pos="4675"/>
        </w:tabs>
        <w:spacing w:line="360" w:lineRule="auto"/>
        <w:ind w:firstLine="648" w:firstLineChars="27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发电机定子PT变比：22/0.1kV</w:t>
      </w:r>
    </w:p>
    <w:p>
      <w:pPr>
        <w:tabs>
          <w:tab w:val="left" w:pos="0"/>
          <w:tab w:val="left" w:pos="4675"/>
        </w:tabs>
        <w:spacing w:line="360" w:lineRule="auto"/>
        <w:ind w:firstLine="648" w:firstLineChars="27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转子分流器变比：7000A/100mv</w:t>
      </w:r>
    </w:p>
    <w:p>
      <w:pPr>
        <w:numPr>
          <w:ilvl w:val="0"/>
          <w:numId w:val="3"/>
        </w:numPr>
        <w:spacing w:before="157" w:beforeLines="50" w:line="360" w:lineRule="auto"/>
        <w:rPr>
          <w:rFonts w:hint="eastAsia" w:ascii="宋体" w:hAnsi="宋体"/>
          <w:b/>
          <w:color w:val="000000"/>
          <w:sz w:val="24"/>
          <w:szCs w:val="24"/>
          <w:highlight w:val="none"/>
        </w:rPr>
      </w:pPr>
      <w:r>
        <w:rPr>
          <w:rFonts w:hint="eastAsia" w:ascii="宋体" w:hAnsi="宋体"/>
          <w:b/>
          <w:color w:val="000000"/>
          <w:sz w:val="24"/>
          <w:szCs w:val="24"/>
          <w:highlight w:val="none"/>
        </w:rPr>
        <w:t>标准和规范</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bCs/>
          <w:color w:val="000000"/>
          <w:sz w:val="24"/>
          <w:szCs w:val="24"/>
          <w:highlight w:val="none"/>
        </w:rPr>
      </w:pPr>
      <w:r>
        <w:rPr>
          <w:rFonts w:hint="eastAsia" w:ascii="宋体" w:hAnsi="宋体"/>
          <w:bCs/>
          <w:color w:val="000000"/>
          <w:sz w:val="24"/>
          <w:szCs w:val="24"/>
          <w:highlight w:val="none"/>
        </w:rPr>
        <w:t>　</w:t>
      </w:r>
      <w:r>
        <w:rPr>
          <w:rFonts w:hint="eastAsia" w:ascii="宋体" w:hAnsi="宋体" w:eastAsia="宋体" w:cs="宋体"/>
          <w:bCs/>
          <w:color w:val="000000"/>
          <w:sz w:val="24"/>
          <w:szCs w:val="24"/>
          <w:highlight w:val="none"/>
        </w:rPr>
        <w:t>下列标准的最新版本所包含的条文通过在本技术规范中引用而构成本技术规范的条文。</w:t>
      </w:r>
    </w:p>
    <w:p>
      <w:pPr>
        <w:spacing w:line="360" w:lineRule="auto"/>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 w:val="0"/>
          <w:color w:val="auto"/>
          <w:sz w:val="24"/>
          <w:szCs w:val="24"/>
          <w:highlight w:val="none"/>
          <w:lang w:eastAsia="zh-CN"/>
        </w:rPr>
        <w:t xml:space="preserve">DL/T 1166 </w:t>
      </w:r>
      <w:r>
        <w:rPr>
          <w:rFonts w:hint="eastAsia" w:ascii="宋体" w:hAnsi="宋体" w:eastAsia="宋体" w:cs="宋体"/>
          <w:b w:val="0"/>
          <w:color w:val="auto"/>
          <w:sz w:val="24"/>
          <w:szCs w:val="24"/>
          <w:highlight w:val="none"/>
          <w:lang w:val="en-US" w:eastAsia="zh-CN"/>
        </w:rPr>
        <w:t xml:space="preserve">  </w:t>
      </w:r>
      <w:r>
        <w:rPr>
          <w:rFonts w:hint="eastAsia" w:ascii="宋体" w:hAnsi="宋体" w:eastAsia="宋体" w:cs="宋体"/>
          <w:b w:val="0"/>
          <w:color w:val="auto"/>
          <w:sz w:val="24"/>
          <w:szCs w:val="24"/>
          <w:highlight w:val="none"/>
          <w:lang w:eastAsia="zh-CN"/>
        </w:rPr>
        <w:t>大型发电机励磁系统现场试验导则</w:t>
      </w:r>
    </w:p>
    <w:p>
      <w:pPr>
        <w:spacing w:line="360" w:lineRule="auto"/>
        <w:ind w:firstLine="480" w:firstLineChars="200"/>
        <w:rPr>
          <w:rFonts w:hint="eastAsia" w:ascii="宋体" w:hAnsi="宋体" w:eastAsia="宋体" w:cs="宋体"/>
          <w:b w:val="0"/>
          <w:color w:val="auto"/>
          <w:sz w:val="24"/>
          <w:szCs w:val="24"/>
          <w:highlight w:val="none"/>
          <w:lang w:eastAsia="zh-CN"/>
        </w:rPr>
      </w:pPr>
      <w:r>
        <w:rPr>
          <w:rFonts w:hint="eastAsia" w:ascii="宋体" w:hAnsi="宋体" w:eastAsia="宋体" w:cs="宋体"/>
          <w:b w:val="0"/>
          <w:color w:val="auto"/>
          <w:sz w:val="24"/>
          <w:szCs w:val="24"/>
          <w:highlight w:val="none"/>
          <w:lang w:eastAsia="zh-CN"/>
        </w:rPr>
        <w:t xml:space="preserve">DL/T 1049 </w:t>
      </w:r>
      <w:r>
        <w:rPr>
          <w:rFonts w:hint="eastAsia" w:ascii="宋体" w:hAnsi="宋体" w:eastAsia="宋体" w:cs="宋体"/>
          <w:b w:val="0"/>
          <w:color w:val="auto"/>
          <w:sz w:val="24"/>
          <w:szCs w:val="24"/>
          <w:highlight w:val="none"/>
          <w:lang w:val="en-US" w:eastAsia="zh-CN"/>
        </w:rPr>
        <w:t xml:space="preserve">  </w:t>
      </w:r>
      <w:r>
        <w:rPr>
          <w:rFonts w:hint="eastAsia" w:ascii="宋体" w:hAnsi="宋体" w:eastAsia="宋体" w:cs="宋体"/>
          <w:b w:val="0"/>
          <w:color w:val="auto"/>
          <w:sz w:val="24"/>
          <w:szCs w:val="24"/>
          <w:highlight w:val="none"/>
          <w:lang w:eastAsia="zh-CN"/>
        </w:rPr>
        <w:t>发电机励磁系统技术监督规程</w:t>
      </w:r>
    </w:p>
    <w:p>
      <w:pPr>
        <w:widowControl/>
        <w:spacing w:line="360" w:lineRule="auto"/>
        <w:ind w:firstLine="420"/>
        <w:jc w:val="left"/>
        <w:rPr>
          <w:rFonts w:hint="eastAsia" w:ascii="宋体" w:hAnsi="宋体" w:eastAsia="宋体" w:cs="宋体"/>
          <w:b w:val="0"/>
          <w:color w:val="auto"/>
          <w:sz w:val="24"/>
          <w:szCs w:val="24"/>
          <w:highlight w:val="none"/>
          <w:lang w:eastAsia="zh-CN" w:bidi="ar"/>
        </w:rPr>
      </w:pPr>
      <w:r>
        <w:rPr>
          <w:rFonts w:hint="eastAsia" w:ascii="宋体" w:hAnsi="宋体" w:eastAsia="宋体" w:cs="宋体"/>
          <w:b w:val="0"/>
          <w:color w:val="auto"/>
          <w:sz w:val="24"/>
          <w:szCs w:val="24"/>
          <w:highlight w:val="none"/>
          <w:lang w:eastAsia="zh-CN" w:bidi="ar"/>
        </w:rPr>
        <w:t>《防止电力生产重大事故的二十五项重点要求》（</w:t>
      </w:r>
      <w:r>
        <w:rPr>
          <w:rFonts w:hint="eastAsia" w:ascii="宋体" w:hAnsi="宋体" w:eastAsia="宋体" w:cs="宋体"/>
          <w:b w:val="0"/>
          <w:color w:val="auto"/>
          <w:sz w:val="24"/>
          <w:szCs w:val="24"/>
          <w:highlight w:val="none"/>
          <w:lang w:val="en-US" w:eastAsia="zh-CN" w:bidi="ar"/>
        </w:rPr>
        <w:t>2023版</w:t>
      </w:r>
      <w:r>
        <w:rPr>
          <w:rFonts w:hint="eastAsia" w:ascii="宋体" w:hAnsi="宋体" w:eastAsia="宋体" w:cs="宋体"/>
          <w:b w:val="0"/>
          <w:color w:val="auto"/>
          <w:sz w:val="24"/>
          <w:szCs w:val="24"/>
          <w:highlight w:val="none"/>
          <w:lang w:eastAsia="zh-CN" w:bidi="ar"/>
        </w:rPr>
        <w:t>）</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GE EX2100励磁系统用户手册等厂家资料</w:t>
      </w:r>
    </w:p>
    <w:p>
      <w:pPr>
        <w:numPr>
          <w:ilvl w:val="0"/>
          <w:numId w:val="3"/>
        </w:numPr>
        <w:spacing w:before="157" w:beforeLines="50" w:line="360" w:lineRule="auto"/>
        <w:rPr>
          <w:rFonts w:hint="eastAsia" w:ascii="宋体" w:hAnsi="宋体" w:eastAsia="宋体"/>
          <w:b/>
          <w:color w:val="000000"/>
          <w:sz w:val="24"/>
          <w:szCs w:val="24"/>
          <w:highlight w:val="none"/>
        </w:rPr>
      </w:pPr>
      <w:r>
        <w:rPr>
          <w:rFonts w:hint="eastAsia" w:ascii="宋体" w:hAnsi="宋体" w:eastAsia="宋体"/>
          <w:b/>
          <w:color w:val="000000"/>
          <w:sz w:val="24"/>
          <w:szCs w:val="24"/>
          <w:highlight w:val="none"/>
          <w:lang w:eastAsia="zh-CN"/>
        </w:rPr>
        <w:t>资质要求</w:t>
      </w:r>
    </w:p>
    <w:p>
      <w:pPr>
        <w:numPr>
          <w:ilvl w:val="-1"/>
          <w:numId w:val="0"/>
        </w:numPr>
        <w:spacing w:line="360" w:lineRule="auto"/>
        <w:ind w:left="0" w:firstLine="480" w:firstLineChars="200"/>
        <w:rPr>
          <w:rFonts w:hint="default"/>
          <w:sz w:val="24"/>
          <w:szCs w:val="24"/>
          <w:highlight w:val="none"/>
          <w:lang w:val="en-US"/>
        </w:rPr>
      </w:pPr>
      <w:r>
        <w:rPr>
          <w:rFonts w:hint="eastAsia" w:ascii="宋体" w:hAnsi="宋体" w:eastAsia="宋体" w:cs="宋体"/>
          <w:b w:val="0"/>
          <w:bCs w:val="0"/>
          <w:i w:val="0"/>
          <w:caps w:val="0"/>
          <w:color w:val="000000"/>
          <w:spacing w:val="0"/>
          <w:sz w:val="24"/>
          <w:szCs w:val="24"/>
          <w:highlight w:val="none"/>
          <w:shd w:val="clear"/>
        </w:rPr>
        <w:t>投标</w:t>
      </w:r>
      <w:r>
        <w:rPr>
          <w:rFonts w:hint="eastAsia" w:ascii="宋体" w:hAnsi="宋体" w:eastAsia="宋体" w:cs="宋体"/>
          <w:b w:val="0"/>
          <w:bCs w:val="0"/>
          <w:i w:val="0"/>
          <w:caps w:val="0"/>
          <w:color w:val="000000"/>
          <w:spacing w:val="0"/>
          <w:sz w:val="24"/>
          <w:szCs w:val="24"/>
          <w:highlight w:val="none"/>
          <w:shd w:val="clear"/>
          <w:lang w:val="en-US" w:eastAsia="zh-CN"/>
        </w:rPr>
        <w:t>方必须为</w:t>
      </w:r>
      <w:r>
        <w:rPr>
          <w:rFonts w:hint="eastAsia" w:ascii="宋体" w:hAnsi="宋体" w:eastAsia="宋体" w:cs="宋体"/>
          <w:b w:val="0"/>
          <w:bCs w:val="0"/>
          <w:color w:val="000000"/>
          <w:sz w:val="24"/>
          <w:szCs w:val="24"/>
          <w:highlight w:val="none"/>
          <w:lang w:val="en-US" w:eastAsia="zh-CN"/>
        </w:rPr>
        <w:t>GE励磁装置在国内授权单位以及</w:t>
      </w:r>
      <w:r>
        <w:rPr>
          <w:rFonts w:hint="eastAsia" w:ascii="宋体" w:hAnsi="宋体" w:eastAsia="宋体" w:cs="宋体"/>
          <w:b w:val="0"/>
          <w:bCs w:val="0"/>
          <w:color w:val="000000"/>
          <w:sz w:val="24"/>
          <w:szCs w:val="24"/>
          <w:highlight w:val="none"/>
          <w:lang w:eastAsia="zh-CN"/>
        </w:rPr>
        <w:t>具备该装置技术服务能力的单位（提供授权文件或</w:t>
      </w:r>
      <w:r>
        <w:rPr>
          <w:rFonts w:hint="eastAsia" w:ascii="宋体" w:hAnsi="宋体" w:eastAsia="宋体" w:cs="宋体"/>
          <w:b w:val="0"/>
          <w:bCs w:val="0"/>
          <w:color w:val="000000"/>
          <w:sz w:val="24"/>
          <w:szCs w:val="24"/>
          <w:highlight w:val="none"/>
          <w:lang w:val="en-US" w:eastAsia="zh-CN"/>
        </w:rPr>
        <w:t>EX2100</w:t>
      </w:r>
      <w:r>
        <w:rPr>
          <w:rFonts w:hint="eastAsia" w:ascii="宋体" w:hAnsi="宋体" w:cs="宋体"/>
          <w:b w:val="0"/>
          <w:bCs w:val="0"/>
          <w:color w:val="000000"/>
          <w:sz w:val="24"/>
          <w:szCs w:val="24"/>
          <w:highlight w:val="none"/>
          <w:lang w:val="en-US" w:eastAsia="zh-CN"/>
        </w:rPr>
        <w:t>励磁技术</w:t>
      </w:r>
      <w:r>
        <w:rPr>
          <w:rFonts w:hint="eastAsia" w:ascii="宋体" w:hAnsi="宋体" w:eastAsia="宋体" w:cs="宋体"/>
          <w:b w:val="0"/>
          <w:bCs w:val="0"/>
          <w:color w:val="000000"/>
          <w:sz w:val="24"/>
          <w:szCs w:val="24"/>
          <w:highlight w:val="none"/>
          <w:lang w:val="en-US" w:eastAsia="zh-CN"/>
        </w:rPr>
        <w:t>服务合同）。</w:t>
      </w:r>
    </w:p>
    <w:p>
      <w:pPr>
        <w:numPr>
          <w:ilvl w:val="0"/>
          <w:numId w:val="3"/>
        </w:numPr>
        <w:spacing w:before="157" w:beforeLines="50" w:line="360" w:lineRule="auto"/>
        <w:rPr>
          <w:rFonts w:hint="eastAsia" w:ascii="宋体" w:hAnsi="宋体"/>
          <w:b/>
          <w:bCs/>
          <w:color w:val="000000"/>
          <w:sz w:val="24"/>
          <w:szCs w:val="24"/>
          <w:highlight w:val="none"/>
        </w:rPr>
      </w:pPr>
      <w:r>
        <w:rPr>
          <w:rFonts w:hint="eastAsia" w:ascii="宋体" w:hAnsi="宋体"/>
          <w:b/>
          <w:bCs/>
          <w:color w:val="000000"/>
          <w:sz w:val="24"/>
          <w:szCs w:val="24"/>
          <w:highlight w:val="none"/>
          <w:lang w:eastAsia="zh-CN"/>
        </w:rPr>
        <w:t>投标方内容及要求</w:t>
      </w:r>
    </w:p>
    <w:p>
      <w:pPr>
        <w:numPr>
          <w:ilvl w:val="1"/>
          <w:numId w:val="3"/>
        </w:numPr>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eastAsia="zh-CN"/>
        </w:rPr>
        <w:t>工作内容</w:t>
      </w:r>
    </w:p>
    <w:p>
      <w:pPr>
        <w:numPr>
          <w:ilvl w:val="2"/>
          <w:numId w:val="3"/>
        </w:numPr>
        <w:spacing w:line="360" w:lineRule="auto"/>
        <w:ind w:left="0" w:firstLine="0"/>
        <w:jc w:val="left"/>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lang w:eastAsia="zh-CN"/>
        </w:rPr>
        <w:t>励磁系统现场</w:t>
      </w:r>
      <w:r>
        <w:rPr>
          <w:rFonts w:hint="eastAsia" w:ascii="宋体" w:hAnsi="宋体" w:cs="宋体"/>
          <w:b w:val="0"/>
          <w:bCs/>
          <w:sz w:val="24"/>
          <w:szCs w:val="24"/>
          <w:highlight w:val="none"/>
          <w:lang w:val="en-US" w:eastAsia="zh-CN"/>
        </w:rPr>
        <w:t>检测</w:t>
      </w:r>
      <w:r>
        <w:rPr>
          <w:rFonts w:hint="eastAsia" w:ascii="宋体" w:hAnsi="宋体" w:eastAsia="宋体" w:cs="宋体"/>
          <w:b w:val="0"/>
          <w:bCs/>
          <w:sz w:val="24"/>
          <w:szCs w:val="24"/>
          <w:highlight w:val="none"/>
          <w:lang w:eastAsia="zh-CN"/>
        </w:rPr>
        <w:t>以及静态检查试验等</w:t>
      </w:r>
    </w:p>
    <w:p>
      <w:pPr>
        <w:numPr>
          <w:ilvl w:val="0"/>
          <w:numId w:val="4"/>
        </w:numPr>
        <w:spacing w:line="360" w:lineRule="auto"/>
        <w:ind w:left="10" w:firstLine="4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功率单元可控硅全面检查、</w:t>
      </w:r>
      <w:r>
        <w:rPr>
          <w:rFonts w:hint="eastAsia" w:ascii="宋体" w:hAnsi="宋体" w:cs="宋体"/>
          <w:sz w:val="24"/>
          <w:szCs w:val="24"/>
          <w:highlight w:val="none"/>
          <w:lang w:val="en-US" w:eastAsia="zh-CN"/>
        </w:rPr>
        <w:t>测试</w:t>
      </w:r>
      <w:r>
        <w:rPr>
          <w:rFonts w:hint="eastAsia" w:ascii="宋体" w:hAnsi="宋体" w:eastAsia="宋体" w:cs="宋体"/>
          <w:sz w:val="24"/>
          <w:szCs w:val="24"/>
          <w:highlight w:val="none"/>
          <w:lang w:eastAsia="zh-CN"/>
        </w:rPr>
        <w:t>；</w:t>
      </w:r>
    </w:p>
    <w:p>
      <w:pPr>
        <w:numPr>
          <w:ilvl w:val="0"/>
          <w:numId w:val="4"/>
        </w:numPr>
        <w:spacing w:line="360" w:lineRule="auto"/>
        <w:ind w:left="10" w:firstLine="4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按厂家用户手册完成#1机励磁调节柜、整流柜硬件、软件系统</w:t>
      </w:r>
      <w:r>
        <w:rPr>
          <w:rFonts w:hint="eastAsia" w:ascii="宋体" w:hAnsi="宋体" w:cs="宋体"/>
          <w:sz w:val="24"/>
          <w:szCs w:val="24"/>
          <w:highlight w:val="none"/>
          <w:lang w:val="en-US" w:eastAsia="zh-CN"/>
        </w:rPr>
        <w:t>功能检测</w:t>
      </w:r>
      <w:r>
        <w:rPr>
          <w:rFonts w:hint="eastAsia" w:ascii="宋体" w:hAnsi="宋体" w:eastAsia="宋体" w:cs="宋体"/>
          <w:sz w:val="24"/>
          <w:szCs w:val="24"/>
          <w:highlight w:val="none"/>
          <w:lang w:val="en-US" w:eastAsia="zh-CN"/>
        </w:rPr>
        <w:t>服务等工作</w:t>
      </w:r>
      <w:r>
        <w:rPr>
          <w:rFonts w:hint="eastAsia" w:ascii="宋体" w:hAnsi="宋体" w:eastAsia="宋体" w:cs="宋体"/>
          <w:sz w:val="24"/>
          <w:szCs w:val="24"/>
          <w:highlight w:val="none"/>
          <w:lang w:eastAsia="zh-CN"/>
        </w:rPr>
        <w:t>；</w:t>
      </w:r>
    </w:p>
    <w:p>
      <w:pPr>
        <w:numPr>
          <w:ilvl w:val="0"/>
          <w:numId w:val="4"/>
        </w:numPr>
        <w:spacing w:line="360" w:lineRule="auto"/>
        <w:ind w:left="10" w:firstLine="4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励磁系统假负载试验等静态试验项目；</w:t>
      </w:r>
    </w:p>
    <w:p>
      <w:pPr>
        <w:numPr>
          <w:ilvl w:val="0"/>
          <w:numId w:val="4"/>
        </w:numPr>
        <w:spacing w:line="360" w:lineRule="auto"/>
        <w:ind w:left="10" w:firstLine="400"/>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励磁调节器及控制逻辑及控制参数现场核查；</w:t>
      </w:r>
    </w:p>
    <w:p>
      <w:pPr>
        <w:numPr>
          <w:ilvl w:val="2"/>
          <w:numId w:val="3"/>
        </w:numPr>
        <w:spacing w:line="360" w:lineRule="auto"/>
        <w:ind w:left="0" w:firstLine="0"/>
        <w:jc w:val="left"/>
        <w:rPr>
          <w:rFonts w:hint="eastAsia" w:ascii="宋体" w:hAnsi="宋体"/>
          <w:b w:val="0"/>
          <w:bCs w:val="0"/>
          <w:sz w:val="24"/>
          <w:szCs w:val="24"/>
          <w:highlight w:val="none"/>
        </w:rPr>
      </w:pPr>
      <w:r>
        <w:rPr>
          <w:rFonts w:hint="eastAsia" w:ascii="宋体" w:hAnsi="宋体" w:eastAsia="宋体" w:cs="宋体"/>
          <w:b w:val="0"/>
          <w:bCs w:val="0"/>
          <w:sz w:val="24"/>
          <w:szCs w:val="24"/>
          <w:highlight w:val="none"/>
          <w:lang w:val="en-US" w:eastAsia="zh-CN"/>
        </w:rPr>
        <w:t>#1机组启机时，配合开展发变组短路试验，录制空载、短路试验曲线</w:t>
      </w:r>
    </w:p>
    <w:p>
      <w:pPr>
        <w:numPr>
          <w:ilvl w:val="2"/>
          <w:numId w:val="3"/>
        </w:numPr>
        <w:spacing w:line="360" w:lineRule="auto"/>
        <w:ind w:left="0" w:firstLine="0"/>
        <w:jc w:val="left"/>
        <w:rPr>
          <w:rFonts w:hint="eastAsia" w:ascii="宋体" w:hAnsi="宋体"/>
          <w:b w:val="0"/>
          <w:bCs w:val="0"/>
          <w:sz w:val="24"/>
          <w:szCs w:val="24"/>
          <w:highlight w:val="none"/>
        </w:rPr>
      </w:pPr>
      <w:r>
        <w:rPr>
          <w:rFonts w:hint="eastAsia" w:ascii="宋体" w:hAnsi="宋体" w:cs="宋体"/>
          <w:b w:val="0"/>
          <w:bCs w:val="0"/>
          <w:sz w:val="24"/>
          <w:szCs w:val="24"/>
          <w:highlight w:val="none"/>
          <w:lang w:val="en-US" w:eastAsia="zh-CN"/>
        </w:rPr>
        <w:t>现场系统维护技术培训等</w:t>
      </w:r>
    </w:p>
    <w:p>
      <w:pPr>
        <w:numPr>
          <w:ilvl w:val="1"/>
          <w:numId w:val="3"/>
        </w:numPr>
        <w:spacing w:line="360" w:lineRule="auto"/>
        <w:ind w:left="0" w:firstLine="0"/>
        <w:jc w:val="left"/>
        <w:rPr>
          <w:rFonts w:hint="eastAsia" w:ascii="宋体" w:hAnsi="宋体"/>
          <w:b/>
          <w:sz w:val="24"/>
          <w:szCs w:val="24"/>
          <w:highlight w:val="none"/>
        </w:rPr>
      </w:pPr>
      <w:r>
        <w:rPr>
          <w:rFonts w:hint="eastAsia" w:ascii="宋体" w:hAnsi="宋体"/>
          <w:b/>
          <w:sz w:val="24"/>
          <w:szCs w:val="24"/>
          <w:highlight w:val="none"/>
          <w:lang w:eastAsia="zh-CN"/>
        </w:rPr>
        <w:t>要求</w:t>
      </w:r>
    </w:p>
    <w:p>
      <w:pPr>
        <w:numPr>
          <w:ilvl w:val="-1"/>
          <w:numId w:val="0"/>
        </w:numPr>
        <w:tabs>
          <w:tab w:val="left" w:pos="720"/>
        </w:tabs>
        <w:spacing w:line="360" w:lineRule="auto"/>
        <w:ind w:left="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励磁系统试验技术服务工作在本年度</w:t>
      </w:r>
      <w:r>
        <w:rPr>
          <w:rFonts w:hint="eastAsia" w:ascii="宋体" w:hAnsi="宋体" w:eastAsia="宋体" w:cs="宋体"/>
          <w:sz w:val="24"/>
          <w:szCs w:val="24"/>
          <w:highlight w:val="none"/>
          <w:lang w:val="en-US" w:eastAsia="zh-CN"/>
        </w:rPr>
        <w:t>#1机组检修期间以及</w:t>
      </w:r>
      <w:r>
        <w:rPr>
          <w:rFonts w:hint="eastAsia" w:ascii="宋体" w:hAnsi="宋体" w:cs="宋体"/>
          <w:sz w:val="24"/>
          <w:szCs w:val="24"/>
          <w:highlight w:val="none"/>
          <w:lang w:val="en-US" w:eastAsia="zh-CN"/>
        </w:rPr>
        <w:t>机组</w:t>
      </w:r>
      <w:r>
        <w:rPr>
          <w:rFonts w:hint="eastAsia" w:ascii="宋体" w:hAnsi="宋体" w:eastAsia="宋体" w:cs="宋体"/>
          <w:sz w:val="24"/>
          <w:szCs w:val="24"/>
          <w:highlight w:val="none"/>
          <w:lang w:val="en-US" w:eastAsia="zh-CN"/>
        </w:rPr>
        <w:t>检修后首次启机时开展（检修工期暂定</w:t>
      </w:r>
      <w:r>
        <w:rPr>
          <w:rFonts w:hint="eastAsia" w:ascii="宋体" w:hAnsi="宋体" w:eastAsia="宋体" w:cs="宋体"/>
          <w:sz w:val="24"/>
          <w:szCs w:val="24"/>
          <w:highlight w:val="none"/>
          <w:lang w:eastAsia="zh-CN"/>
        </w:rPr>
        <w:t>为</w:t>
      </w:r>
      <w:r>
        <w:rPr>
          <w:rFonts w:hint="eastAsia" w:ascii="宋体" w:hAnsi="宋体" w:eastAsia="宋体" w:cs="宋体"/>
          <w:b/>
          <w:bCs/>
          <w:sz w:val="24"/>
          <w:szCs w:val="24"/>
          <w:highlight w:val="none"/>
          <w:lang w:val="en-US" w:eastAsia="zh-CN"/>
        </w:rPr>
        <w:t>5月9日至6月2日</w:t>
      </w:r>
      <w:r>
        <w:rPr>
          <w:rFonts w:hint="eastAsia" w:ascii="宋体" w:hAnsi="宋体" w:eastAsia="宋体" w:cs="宋体"/>
          <w:sz w:val="24"/>
          <w:szCs w:val="24"/>
          <w:highlight w:val="none"/>
          <w:lang w:val="en-US" w:eastAsia="zh-CN"/>
        </w:rPr>
        <w:t>，具体以电网最终批准日期为准）。</w:t>
      </w:r>
    </w:p>
    <w:p>
      <w:pPr>
        <w:numPr>
          <w:ilvl w:val="-1"/>
          <w:numId w:val="0"/>
        </w:numPr>
        <w:tabs>
          <w:tab w:val="left" w:pos="720"/>
        </w:tabs>
        <w:spacing w:line="360" w:lineRule="auto"/>
        <w:ind w:left="0" w:firstLine="480" w:firstLineChars="200"/>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招标方根据电网调度安排的机组启动时间以及启机调令后，及时通知投标方，投标方在得到通知后，务必在规定的时间内赶至招标方现场按时开展相关工作。</w:t>
      </w:r>
    </w:p>
    <w:p>
      <w:pPr>
        <w:numPr>
          <w:ilvl w:val="0"/>
          <w:numId w:val="0"/>
        </w:numPr>
        <w:tabs>
          <w:tab w:val="left" w:pos="720"/>
        </w:tabs>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投标方派出的</w:t>
      </w:r>
      <w:r>
        <w:rPr>
          <w:rFonts w:hint="eastAsia" w:ascii="宋体" w:hAnsi="宋体" w:cs="宋体"/>
          <w:sz w:val="24"/>
          <w:szCs w:val="24"/>
          <w:highlight w:val="none"/>
          <w:lang w:val="en-US" w:eastAsia="zh-CN"/>
        </w:rPr>
        <w:t>技术</w:t>
      </w:r>
      <w:r>
        <w:rPr>
          <w:rFonts w:hint="eastAsia" w:ascii="宋体" w:hAnsi="宋体" w:eastAsia="宋体" w:cs="宋体"/>
          <w:sz w:val="24"/>
          <w:szCs w:val="24"/>
          <w:highlight w:val="none"/>
          <w:lang w:val="en-US" w:eastAsia="zh-CN"/>
        </w:rPr>
        <w:t>服务人员必须能独立完成EX21OO励磁系统</w:t>
      </w:r>
      <w:r>
        <w:rPr>
          <w:rFonts w:hint="eastAsia" w:ascii="宋体" w:hAnsi="宋体" w:cs="宋体"/>
          <w:sz w:val="24"/>
          <w:szCs w:val="24"/>
          <w:highlight w:val="none"/>
          <w:lang w:val="en-US" w:eastAsia="zh-CN"/>
        </w:rPr>
        <w:t>检测</w:t>
      </w:r>
      <w:r>
        <w:rPr>
          <w:rFonts w:hint="eastAsia" w:ascii="宋体" w:hAnsi="宋体" w:eastAsia="宋体" w:cs="宋体"/>
          <w:sz w:val="24"/>
          <w:szCs w:val="24"/>
          <w:highlight w:val="none"/>
          <w:lang w:val="en-US" w:eastAsia="zh-CN"/>
        </w:rPr>
        <w:t>以及试验工作。</w:t>
      </w:r>
    </w:p>
    <w:p>
      <w:pPr>
        <w:numPr>
          <w:ilvl w:val="0"/>
          <w:numId w:val="3"/>
        </w:numPr>
        <w:spacing w:before="157" w:beforeLines="50" w:line="360" w:lineRule="auto"/>
        <w:rPr>
          <w:rFonts w:hint="eastAsia" w:ascii="宋体" w:hAnsi="宋体"/>
          <w:b/>
          <w:color w:val="000000"/>
          <w:sz w:val="24"/>
          <w:szCs w:val="24"/>
          <w:highlight w:val="none"/>
        </w:rPr>
      </w:pPr>
      <w:r>
        <w:rPr>
          <w:rFonts w:hint="eastAsia" w:ascii="宋体" w:hAnsi="宋体"/>
          <w:b/>
          <w:color w:val="000000"/>
          <w:sz w:val="24"/>
          <w:szCs w:val="24"/>
          <w:highlight w:val="none"/>
        </w:rPr>
        <w:t>验收</w:t>
      </w:r>
    </w:p>
    <w:p>
      <w:pPr>
        <w:numPr>
          <w:ilvl w:val="-1"/>
          <w:numId w:val="0"/>
        </w:numPr>
        <w:tabs>
          <w:tab w:val="left" w:pos="420"/>
        </w:tabs>
        <w:spacing w:line="360" w:lineRule="auto"/>
        <w:ind w:left="0" w:leftChars="0" w:firstLine="480" w:firstLineChars="200"/>
        <w:rPr>
          <w:rFonts w:hint="eastAsia" w:ascii="宋体" w:hAnsi="宋体"/>
          <w:color w:val="000000"/>
          <w:sz w:val="24"/>
          <w:szCs w:val="24"/>
          <w:highlight w:val="none"/>
          <w:lang w:eastAsia="zh-CN"/>
        </w:rPr>
      </w:pPr>
      <w:r>
        <w:rPr>
          <w:rFonts w:hint="eastAsia" w:ascii="宋体" w:hAnsi="宋体"/>
          <w:color w:val="000000"/>
          <w:sz w:val="24"/>
          <w:szCs w:val="24"/>
          <w:highlight w:val="none"/>
          <w:lang w:eastAsia="zh-CN"/>
        </w:rPr>
        <w:t>投标方按要求完成本技术条件书的所有工作，提交书面的励磁系统</w:t>
      </w:r>
      <w:r>
        <w:rPr>
          <w:rFonts w:hint="eastAsia" w:ascii="宋体" w:hAnsi="宋体"/>
          <w:color w:val="000000"/>
          <w:sz w:val="24"/>
          <w:szCs w:val="24"/>
          <w:highlight w:val="none"/>
          <w:lang w:val="en-US" w:eastAsia="zh-CN"/>
        </w:rPr>
        <w:t>检测</w:t>
      </w:r>
      <w:r>
        <w:rPr>
          <w:rFonts w:hint="eastAsia" w:ascii="宋体" w:hAnsi="宋体"/>
          <w:color w:val="000000"/>
          <w:sz w:val="24"/>
          <w:szCs w:val="24"/>
          <w:highlight w:val="none"/>
          <w:lang w:eastAsia="zh-CN"/>
        </w:rPr>
        <w:t>以及试验报告。</w:t>
      </w:r>
    </w:p>
    <w:p>
      <w:pPr>
        <w:numPr>
          <w:ilvl w:val="0"/>
          <w:numId w:val="3"/>
        </w:numPr>
        <w:spacing w:before="157" w:beforeLines="50" w:line="360" w:lineRule="auto"/>
        <w:rPr>
          <w:rFonts w:hint="eastAsia" w:ascii="宋体" w:hAnsi="宋体"/>
          <w:b/>
          <w:color w:val="000000"/>
          <w:sz w:val="24"/>
          <w:szCs w:val="24"/>
          <w:highlight w:val="none"/>
        </w:rPr>
      </w:pPr>
      <w:r>
        <w:rPr>
          <w:rFonts w:hint="eastAsia" w:ascii="宋体" w:hAnsi="宋体"/>
          <w:b/>
          <w:color w:val="000000"/>
          <w:sz w:val="24"/>
          <w:szCs w:val="24"/>
          <w:highlight w:val="none"/>
          <w:lang w:val="en-US" w:eastAsia="zh-CN"/>
        </w:rPr>
        <w:t>安全、环保要求</w:t>
      </w:r>
    </w:p>
    <w:p>
      <w:pPr>
        <w:numPr>
          <w:ilvl w:val="1"/>
          <w:numId w:val="3"/>
        </w:numPr>
        <w:spacing w:line="360" w:lineRule="auto"/>
        <w:rPr>
          <w:rFonts w:hint="eastAsia" w:ascii="宋体" w:hAnsi="宋体"/>
          <w:b w:val="0"/>
          <w:color w:val="000000"/>
          <w:sz w:val="24"/>
          <w:szCs w:val="24"/>
          <w:highlight w:val="none"/>
        </w:rPr>
      </w:pPr>
      <w:r>
        <w:rPr>
          <w:rFonts w:hint="eastAsia" w:ascii="宋体" w:hAnsi="宋体"/>
          <w:b w:val="0"/>
          <w:color w:val="000000"/>
          <w:sz w:val="24"/>
          <w:szCs w:val="24"/>
          <w:highlight w:val="none"/>
        </w:rPr>
        <w:t>安全管理</w:t>
      </w:r>
      <w:r>
        <w:rPr>
          <w:rFonts w:hint="eastAsia" w:ascii="宋体" w:hAnsi="宋体"/>
          <w:b w:val="0"/>
          <w:color w:val="000000"/>
          <w:sz w:val="24"/>
          <w:szCs w:val="24"/>
          <w:highlight w:val="none"/>
          <w:lang w:val="en-US" w:eastAsia="zh-CN"/>
        </w:rPr>
        <w:t>要求</w:t>
      </w:r>
    </w:p>
    <w:p>
      <w:pPr>
        <w:numPr>
          <w:ilvl w:val="2"/>
          <w:numId w:val="3"/>
        </w:numPr>
        <w:snapToGrid/>
        <w:spacing w:line="360" w:lineRule="auto"/>
        <w:rPr>
          <w:rFonts w:hint="eastAsia" w:ascii="宋体" w:hAnsi="宋体" w:eastAsia="宋体" w:cs="Times New Roman"/>
          <w:bCs w:val="0"/>
          <w:color w:val="000000"/>
          <w:sz w:val="24"/>
          <w:szCs w:val="24"/>
          <w:highlight w:val="none"/>
        </w:rPr>
      </w:pPr>
      <w:r>
        <w:rPr>
          <w:rFonts w:hint="eastAsia" w:ascii="宋体" w:hAnsi="宋体" w:cs="Times New Roman"/>
          <w:bCs w:val="0"/>
          <w:color w:val="000000"/>
          <w:sz w:val="24"/>
          <w:szCs w:val="24"/>
          <w:highlight w:val="none"/>
          <w:lang w:val="en-US" w:eastAsia="zh-CN"/>
        </w:rPr>
        <w:t>投标</w:t>
      </w:r>
      <w:r>
        <w:rPr>
          <w:rFonts w:hint="eastAsia" w:ascii="宋体" w:hAnsi="宋体" w:eastAsia="宋体" w:cs="Times New Roman"/>
          <w:bCs w:val="0"/>
          <w:color w:val="000000"/>
          <w:sz w:val="24"/>
          <w:szCs w:val="24"/>
          <w:highlight w:val="none"/>
        </w:rPr>
        <w:t>方必须坚决贯彻执行国家及设备工程所在地各级人民政府关于安全生产的一系列方针、政策、法规、条例和规定，必须采取一切必要措施和手段强化检修安全管理，提高安全检修水平，确定严格的安全检修秩序以保证现场人员和设备在改造施工中的安全与健康。</w:t>
      </w:r>
    </w:p>
    <w:p>
      <w:pPr>
        <w:numPr>
          <w:ilvl w:val="2"/>
          <w:numId w:val="3"/>
        </w:numPr>
        <w:snapToGrid/>
        <w:spacing w:line="360" w:lineRule="auto"/>
        <w:rPr>
          <w:rFonts w:hint="eastAsia" w:ascii="宋体" w:hAnsi="宋体" w:eastAsia="宋体" w:cs="Times New Roman"/>
          <w:bCs w:val="0"/>
          <w:color w:val="000000"/>
          <w:sz w:val="24"/>
          <w:szCs w:val="24"/>
          <w:highlight w:val="none"/>
        </w:rPr>
      </w:pPr>
      <w:r>
        <w:rPr>
          <w:rFonts w:hint="eastAsia" w:ascii="宋体" w:hAnsi="宋体" w:cs="Times New Roman"/>
          <w:bCs w:val="0"/>
          <w:color w:val="000000"/>
          <w:sz w:val="24"/>
          <w:szCs w:val="24"/>
          <w:highlight w:val="none"/>
          <w:lang w:eastAsia="zh-CN"/>
        </w:rPr>
        <w:t>投标方</w:t>
      </w:r>
      <w:r>
        <w:rPr>
          <w:rFonts w:hint="eastAsia" w:ascii="宋体" w:hAnsi="宋体" w:eastAsia="宋体" w:cs="Times New Roman"/>
          <w:bCs w:val="0"/>
          <w:color w:val="000000"/>
          <w:sz w:val="24"/>
          <w:szCs w:val="24"/>
          <w:highlight w:val="none"/>
        </w:rPr>
        <w:t>必须贯彻执行“安全第一、预防为主”的方针，严格执行《电业安全工作规程》、《安全生产工作规定》、《防止电力生产重大事故的二十五项重点要求》等和</w:t>
      </w:r>
      <w:r>
        <w:rPr>
          <w:rFonts w:hint="eastAsia" w:ascii="宋体" w:hAnsi="宋体" w:cs="Times New Roman"/>
          <w:bCs w:val="0"/>
          <w:color w:val="000000"/>
          <w:sz w:val="24"/>
          <w:szCs w:val="24"/>
          <w:highlight w:val="none"/>
          <w:lang w:val="en-US" w:eastAsia="zh-CN"/>
        </w:rPr>
        <w:t>招标</w:t>
      </w:r>
      <w:r>
        <w:rPr>
          <w:rFonts w:hint="eastAsia" w:ascii="宋体" w:hAnsi="宋体" w:eastAsia="宋体" w:cs="Times New Roman"/>
          <w:bCs w:val="0"/>
          <w:color w:val="000000"/>
          <w:sz w:val="24"/>
          <w:szCs w:val="24"/>
          <w:highlight w:val="none"/>
        </w:rPr>
        <w:t>方有关安全规章制度的规定</w:t>
      </w:r>
      <w:r>
        <w:rPr>
          <w:rFonts w:hint="eastAsia" w:ascii="宋体" w:hAnsi="宋体" w:cs="Times New Roman"/>
          <w:bCs w:val="0"/>
          <w:color w:val="000000"/>
          <w:sz w:val="24"/>
          <w:szCs w:val="24"/>
          <w:highlight w:val="none"/>
          <w:lang w:eastAsia="zh-CN"/>
        </w:rPr>
        <w:t>，</w:t>
      </w:r>
      <w:r>
        <w:rPr>
          <w:rFonts w:hint="eastAsia" w:ascii="宋体" w:hAnsi="宋体" w:cs="Times New Roman"/>
          <w:bCs w:val="0"/>
          <w:color w:val="000000"/>
          <w:sz w:val="24"/>
          <w:szCs w:val="24"/>
          <w:highlight w:val="none"/>
          <w:lang w:val="en-US" w:eastAsia="zh-CN"/>
        </w:rPr>
        <w:t>招投标双方在签订合同时须</w:t>
      </w:r>
      <w:r>
        <w:rPr>
          <w:rFonts w:hint="eastAsia" w:ascii="宋体" w:hAnsi="宋体" w:cs="Times New Roman"/>
          <w:bCs w:val="0"/>
          <w:color w:val="000000"/>
          <w:sz w:val="24"/>
          <w:szCs w:val="24"/>
          <w:highlight w:val="none"/>
          <w:lang w:val="en-US" w:eastAsia="zh-CN"/>
        </w:rPr>
        <w:t>签订《承包商</w:t>
      </w:r>
      <w:r>
        <w:rPr>
          <w:rFonts w:hint="eastAsia" w:ascii="宋体" w:hAnsi="宋体" w:cs="Times New Roman"/>
          <w:bCs w:val="0"/>
          <w:color w:val="000000"/>
          <w:kern w:val="2"/>
          <w:sz w:val="24"/>
          <w:szCs w:val="24"/>
          <w:highlight w:val="none"/>
          <w:lang w:eastAsia="zh-CN"/>
        </w:rPr>
        <w:t>安全生产管理协议</w:t>
      </w:r>
      <w:r>
        <w:rPr>
          <w:rFonts w:hint="eastAsia" w:ascii="宋体" w:hAnsi="宋体" w:cs="Times New Roman"/>
          <w:bCs w:val="0"/>
          <w:color w:val="000000"/>
          <w:sz w:val="24"/>
          <w:szCs w:val="24"/>
          <w:highlight w:val="none"/>
          <w:lang w:val="en-US" w:eastAsia="zh-CN"/>
        </w:rPr>
        <w:t>》</w:t>
      </w:r>
      <w:r>
        <w:rPr>
          <w:rFonts w:hint="eastAsia" w:ascii="宋体" w:hAnsi="宋体" w:cs="Times New Roman"/>
          <w:bCs w:val="0"/>
          <w:color w:val="000000"/>
          <w:sz w:val="24"/>
          <w:szCs w:val="24"/>
          <w:highlight w:val="none"/>
          <w:lang w:val="en-US" w:eastAsia="zh-CN"/>
        </w:rPr>
        <w:t>（详见附件1）</w:t>
      </w:r>
      <w:r>
        <w:rPr>
          <w:rFonts w:hint="eastAsia" w:ascii="宋体" w:hAnsi="宋体" w:eastAsia="宋体" w:cs="Times New Roman"/>
          <w:bCs w:val="0"/>
          <w:color w:val="000000"/>
          <w:sz w:val="24"/>
          <w:szCs w:val="24"/>
          <w:highlight w:val="none"/>
        </w:rPr>
        <w:t>。</w:t>
      </w:r>
    </w:p>
    <w:p>
      <w:pPr>
        <w:numPr>
          <w:ilvl w:val="2"/>
          <w:numId w:val="3"/>
        </w:numPr>
        <w:snapToGrid/>
        <w:spacing w:line="360" w:lineRule="auto"/>
        <w:rPr>
          <w:rFonts w:hint="eastAsia" w:ascii="宋体" w:hAnsi="宋体" w:eastAsia="宋体" w:cs="Times New Roman"/>
          <w:bCs w:val="0"/>
          <w:color w:val="000000"/>
          <w:sz w:val="24"/>
          <w:szCs w:val="24"/>
          <w:highlight w:val="none"/>
        </w:rPr>
      </w:pPr>
      <w:r>
        <w:rPr>
          <w:rFonts w:hint="eastAsia" w:ascii="宋体" w:hAnsi="宋体" w:eastAsia="宋体" w:cs="Times New Roman"/>
          <w:bCs w:val="0"/>
          <w:color w:val="000000"/>
          <w:sz w:val="24"/>
          <w:szCs w:val="24"/>
          <w:highlight w:val="none"/>
          <w:lang w:eastAsia="zh-CN"/>
        </w:rPr>
        <w:t>投标方</w:t>
      </w:r>
      <w:r>
        <w:rPr>
          <w:rFonts w:hint="eastAsia" w:ascii="宋体" w:hAnsi="宋体" w:eastAsia="宋体" w:cs="Times New Roman"/>
          <w:bCs w:val="0"/>
          <w:color w:val="000000"/>
          <w:sz w:val="24"/>
          <w:szCs w:val="24"/>
          <w:highlight w:val="none"/>
        </w:rPr>
        <w:t>的各级行政一把手是本单位的安全第一责任人，必须亲自抓安全，必须建立严密的安全监察网络和有效的安全保障体系。现场必须配备</w:t>
      </w:r>
      <w:r>
        <w:rPr>
          <w:rFonts w:hint="eastAsia" w:ascii="宋体" w:hAnsi="宋体" w:cs="Times New Roman"/>
          <w:bCs w:val="0"/>
          <w:color w:val="000000"/>
          <w:sz w:val="24"/>
          <w:szCs w:val="24"/>
          <w:highlight w:val="none"/>
          <w:lang w:eastAsia="zh-CN"/>
        </w:rPr>
        <w:t>兼职</w:t>
      </w:r>
      <w:r>
        <w:rPr>
          <w:rFonts w:hint="eastAsia" w:ascii="宋体" w:hAnsi="宋体" w:eastAsia="宋体" w:cs="Times New Roman"/>
          <w:bCs w:val="0"/>
          <w:color w:val="000000"/>
          <w:sz w:val="24"/>
          <w:szCs w:val="24"/>
          <w:highlight w:val="none"/>
        </w:rPr>
        <w:t>安全员，同时满足</w:t>
      </w:r>
      <w:r>
        <w:rPr>
          <w:rFonts w:hint="eastAsia" w:ascii="宋体" w:hAnsi="宋体" w:cs="Times New Roman"/>
          <w:bCs w:val="0"/>
          <w:color w:val="000000"/>
          <w:sz w:val="24"/>
          <w:szCs w:val="24"/>
          <w:highlight w:val="none"/>
          <w:lang w:eastAsia="zh-CN"/>
        </w:rPr>
        <w:t>招标方</w:t>
      </w:r>
      <w:r>
        <w:rPr>
          <w:rFonts w:hint="eastAsia" w:ascii="宋体" w:hAnsi="宋体" w:cs="Times New Roman"/>
          <w:bCs w:val="0"/>
          <w:color w:val="000000"/>
          <w:sz w:val="24"/>
          <w:szCs w:val="24"/>
          <w:highlight w:val="none"/>
          <w:lang w:val="en-US" w:eastAsia="zh-CN"/>
        </w:rPr>
        <w:t>安全管理</w:t>
      </w:r>
      <w:r>
        <w:rPr>
          <w:rFonts w:hint="eastAsia" w:ascii="宋体" w:hAnsi="宋体" w:eastAsia="宋体" w:cs="Times New Roman"/>
          <w:bCs w:val="0"/>
          <w:color w:val="000000"/>
          <w:sz w:val="24"/>
          <w:szCs w:val="24"/>
          <w:highlight w:val="none"/>
        </w:rPr>
        <w:t>要求。</w:t>
      </w:r>
    </w:p>
    <w:p>
      <w:pPr>
        <w:numPr>
          <w:ilvl w:val="2"/>
          <w:numId w:val="3"/>
        </w:numPr>
        <w:snapToGrid/>
        <w:spacing w:line="360" w:lineRule="auto"/>
        <w:rPr>
          <w:rFonts w:hint="eastAsia" w:ascii="宋体" w:hAnsi="宋体" w:eastAsia="宋体" w:cs="Times New Roman"/>
          <w:bCs w:val="0"/>
          <w:color w:val="000000"/>
          <w:sz w:val="24"/>
          <w:szCs w:val="24"/>
          <w:highlight w:val="none"/>
        </w:rPr>
      </w:pPr>
      <w:r>
        <w:rPr>
          <w:rFonts w:hint="eastAsia" w:ascii="宋体" w:hAnsi="宋体" w:eastAsia="宋体" w:cs="Times New Roman"/>
          <w:bCs w:val="0"/>
          <w:color w:val="000000"/>
          <w:sz w:val="24"/>
          <w:szCs w:val="24"/>
          <w:highlight w:val="none"/>
          <w:lang w:eastAsia="zh-CN"/>
        </w:rPr>
        <w:t>投标方</w:t>
      </w:r>
      <w:r>
        <w:rPr>
          <w:rFonts w:hint="eastAsia" w:ascii="宋体" w:hAnsi="宋体" w:eastAsia="宋体" w:cs="Times New Roman"/>
          <w:bCs w:val="0"/>
          <w:color w:val="000000"/>
          <w:sz w:val="24"/>
          <w:szCs w:val="24"/>
          <w:highlight w:val="none"/>
        </w:rPr>
        <w:t>人员在现场施工过程中，应接受</w:t>
      </w:r>
      <w:r>
        <w:rPr>
          <w:rFonts w:hint="eastAsia" w:ascii="宋体" w:hAnsi="宋体" w:cs="Times New Roman"/>
          <w:bCs w:val="0"/>
          <w:color w:val="000000"/>
          <w:sz w:val="24"/>
          <w:szCs w:val="24"/>
          <w:highlight w:val="none"/>
          <w:lang w:eastAsia="zh-CN"/>
        </w:rPr>
        <w:t>招标方</w:t>
      </w:r>
      <w:r>
        <w:rPr>
          <w:rFonts w:hint="eastAsia" w:ascii="宋体" w:hAnsi="宋体" w:eastAsia="宋体" w:cs="Times New Roman"/>
          <w:bCs w:val="0"/>
          <w:color w:val="000000"/>
          <w:sz w:val="24"/>
          <w:szCs w:val="24"/>
          <w:highlight w:val="none"/>
        </w:rPr>
        <w:t>安全各项考核制度和管理人员的安全监督</w:t>
      </w:r>
      <w:r>
        <w:rPr>
          <w:rFonts w:hint="eastAsia" w:ascii="宋体" w:hAnsi="宋体" w:cs="Times New Roman"/>
          <w:bCs w:val="0"/>
          <w:color w:val="000000"/>
          <w:sz w:val="24"/>
          <w:szCs w:val="24"/>
          <w:highlight w:val="none"/>
          <w:lang w:eastAsia="zh-CN"/>
        </w:rPr>
        <w:t>，维修现场防止非工作人员进入</w:t>
      </w:r>
      <w:r>
        <w:rPr>
          <w:rFonts w:hint="eastAsia" w:ascii="宋体" w:hAnsi="宋体" w:eastAsia="宋体" w:cs="Times New Roman"/>
          <w:bCs w:val="0"/>
          <w:color w:val="000000"/>
          <w:sz w:val="24"/>
          <w:szCs w:val="24"/>
          <w:highlight w:val="none"/>
        </w:rPr>
        <w:t>。</w:t>
      </w:r>
    </w:p>
    <w:p>
      <w:pPr>
        <w:numPr>
          <w:ilvl w:val="2"/>
          <w:numId w:val="3"/>
        </w:numPr>
        <w:snapToGrid/>
        <w:spacing w:line="360" w:lineRule="auto"/>
        <w:rPr>
          <w:rFonts w:hint="eastAsia"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rPr>
        <w:t>发生另类缺陷或遇事故，</w:t>
      </w:r>
      <w:r>
        <w:rPr>
          <w:rFonts w:hint="eastAsia" w:ascii="宋体" w:hAnsi="宋体" w:eastAsia="宋体" w:cs="Times New Roman"/>
          <w:color w:val="000000"/>
          <w:sz w:val="24"/>
          <w:szCs w:val="24"/>
          <w:highlight w:val="none"/>
          <w:lang w:eastAsia="zh-CN"/>
        </w:rPr>
        <w:t>投标方</w:t>
      </w:r>
      <w:r>
        <w:rPr>
          <w:rFonts w:hint="eastAsia" w:ascii="宋体" w:hAnsi="宋体" w:eastAsia="宋体" w:cs="Times New Roman"/>
          <w:color w:val="000000"/>
          <w:sz w:val="24"/>
          <w:szCs w:val="24"/>
          <w:highlight w:val="none"/>
        </w:rPr>
        <w:t>须立即组织人员投入抢修、抢险。</w:t>
      </w:r>
    </w:p>
    <w:p>
      <w:pPr>
        <w:numPr>
          <w:ilvl w:val="2"/>
          <w:numId w:val="3"/>
        </w:numPr>
        <w:snapToGrid/>
        <w:spacing w:line="360" w:lineRule="auto"/>
        <w:rPr>
          <w:rFonts w:hint="eastAsia" w:ascii="宋体" w:hAnsi="宋体" w:eastAsia="宋体" w:cs="Times New Roman"/>
          <w:color w:val="000000"/>
          <w:sz w:val="24"/>
          <w:szCs w:val="24"/>
          <w:highlight w:val="none"/>
        </w:rPr>
      </w:pPr>
      <w:r>
        <w:rPr>
          <w:rFonts w:hint="eastAsia" w:ascii="宋体" w:hAnsi="宋体" w:cs="Times New Roman"/>
          <w:color w:val="000000"/>
          <w:sz w:val="24"/>
          <w:szCs w:val="24"/>
          <w:highlight w:val="none"/>
          <w:lang w:val="en-US" w:eastAsia="zh-CN"/>
        </w:rPr>
        <w:t>投标方应建立安全保证体系，建立安全保证体系组织机构，明确分工及人员职责，采取安全保证技术措施、组织措施，保证全过程安全检修。</w:t>
      </w:r>
    </w:p>
    <w:p>
      <w:pPr>
        <w:numPr>
          <w:ilvl w:val="2"/>
          <w:numId w:val="3"/>
        </w:numPr>
        <w:snapToGrid/>
        <w:spacing w:line="360" w:lineRule="auto"/>
        <w:rPr>
          <w:rFonts w:hint="eastAsia" w:ascii="宋体" w:hAnsi="宋体" w:eastAsia="宋体" w:cs="Times New Roman"/>
          <w:color w:val="000000"/>
          <w:sz w:val="24"/>
          <w:szCs w:val="24"/>
          <w:highlight w:val="none"/>
        </w:rPr>
      </w:pPr>
      <w:r>
        <w:rPr>
          <w:rFonts w:hint="eastAsia" w:ascii="宋体" w:hAnsi="宋体" w:cs="Times New Roman"/>
          <w:color w:val="000000"/>
          <w:sz w:val="24"/>
          <w:szCs w:val="24"/>
          <w:highlight w:val="none"/>
          <w:lang w:val="en-US" w:eastAsia="zh-CN"/>
        </w:rPr>
        <w:t>投标方现场施工机具、劳动保护防护用品应经检验试验合格并在有效期限内，投标方应提供详细工器具、劳动保护防护用品清单并填入下表。</w:t>
      </w:r>
    </w:p>
    <w:p>
      <w:pPr>
        <w:rPr>
          <w:rFonts w:hint="eastAsia" w:ascii="仿宋_GB2312" w:eastAsia="仿宋_GB2312"/>
          <w:b/>
          <w:sz w:val="24"/>
          <w:szCs w:val="24"/>
          <w:highlight w:val="none"/>
        </w:rPr>
      </w:pPr>
      <w:r>
        <w:rPr>
          <w:rFonts w:hint="eastAsia" w:ascii="仿宋_GB2312" w:eastAsia="仿宋_GB2312"/>
          <w:b/>
          <w:sz w:val="24"/>
          <w:szCs w:val="24"/>
          <w:highlight w:val="none"/>
        </w:rPr>
        <w:t>（</w:t>
      </w:r>
      <w:r>
        <w:rPr>
          <w:rFonts w:hint="eastAsia" w:ascii="仿宋_GB2312" w:eastAsia="仿宋_GB2312"/>
          <w:b/>
          <w:sz w:val="24"/>
          <w:szCs w:val="24"/>
          <w:highlight w:val="none"/>
          <w:lang w:eastAsia="zh-CN"/>
        </w:rPr>
        <w:t>投标方</w:t>
      </w:r>
      <w:r>
        <w:rPr>
          <w:rFonts w:hint="eastAsia" w:ascii="仿宋_GB2312" w:eastAsia="仿宋_GB2312"/>
          <w:b/>
          <w:sz w:val="24"/>
          <w:szCs w:val="24"/>
          <w:highlight w:val="none"/>
        </w:rPr>
        <w:t>填写）</w:t>
      </w:r>
    </w:p>
    <w:tbl>
      <w:tblPr>
        <w:tblStyle w:val="11"/>
        <w:tblW w:w="0" w:type="auto"/>
        <w:tblInd w:w="108" w:type="dxa"/>
        <w:tblLayout w:type="fixed"/>
        <w:tblCellMar>
          <w:top w:w="0" w:type="dxa"/>
          <w:left w:w="108" w:type="dxa"/>
          <w:bottom w:w="0" w:type="dxa"/>
          <w:right w:w="108" w:type="dxa"/>
        </w:tblCellMar>
      </w:tblPr>
      <w:tblGrid>
        <w:gridCol w:w="660"/>
        <w:gridCol w:w="2098"/>
        <w:gridCol w:w="1987"/>
        <w:gridCol w:w="659"/>
        <w:gridCol w:w="1227"/>
        <w:gridCol w:w="1629"/>
      </w:tblGrid>
      <w:tr>
        <w:tblPrEx>
          <w:tblCellMar>
            <w:top w:w="0" w:type="dxa"/>
            <w:left w:w="108" w:type="dxa"/>
            <w:bottom w:w="0" w:type="dxa"/>
            <w:right w:w="108" w:type="dxa"/>
          </w:tblCellMar>
        </w:tblPrEx>
        <w:trPr>
          <w:cantSplit/>
          <w:trHeight w:val="403" w:hRule="atLeast"/>
          <w:tblHeader/>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Arial" w:eastAsia="仿宋_GB2312" w:cs="Arial"/>
                <w:kern w:val="0"/>
                <w:sz w:val="24"/>
                <w:szCs w:val="24"/>
                <w:highlight w:val="none"/>
              </w:rPr>
            </w:pPr>
            <w:r>
              <w:rPr>
                <w:rFonts w:hint="eastAsia" w:ascii="仿宋_GB2312" w:hAnsi="Arial" w:eastAsia="仿宋_GB2312" w:cs="Arial"/>
                <w:kern w:val="0"/>
                <w:sz w:val="24"/>
                <w:szCs w:val="24"/>
                <w:highlight w:val="none"/>
              </w:rPr>
              <w:t>序号</w:t>
            </w:r>
          </w:p>
        </w:tc>
        <w:tc>
          <w:tcPr>
            <w:tcW w:w="20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_GB2312" w:hAnsi="Arial" w:eastAsia="仿宋_GB2312" w:cs="Arial"/>
                <w:kern w:val="0"/>
                <w:sz w:val="24"/>
                <w:szCs w:val="24"/>
                <w:highlight w:val="none"/>
              </w:rPr>
            </w:pPr>
            <w:r>
              <w:rPr>
                <w:rFonts w:hint="eastAsia" w:ascii="仿宋_GB2312" w:hAnsi="Arial" w:eastAsia="仿宋_GB2312" w:cs="Arial"/>
                <w:kern w:val="0"/>
                <w:sz w:val="24"/>
                <w:szCs w:val="24"/>
                <w:highlight w:val="none"/>
              </w:rPr>
              <w:t>名  称</w:t>
            </w:r>
          </w:p>
        </w:tc>
        <w:tc>
          <w:tcPr>
            <w:tcW w:w="198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hAnsi="Arial" w:eastAsia="仿宋_GB2312" w:cs="Arial"/>
                <w:kern w:val="0"/>
                <w:sz w:val="24"/>
                <w:szCs w:val="24"/>
                <w:highlight w:val="none"/>
              </w:rPr>
            </w:pPr>
            <w:r>
              <w:rPr>
                <w:rFonts w:hint="eastAsia" w:ascii="仿宋_GB2312" w:hAnsi="Arial" w:eastAsia="仿宋_GB2312" w:cs="Arial"/>
                <w:kern w:val="0"/>
                <w:sz w:val="24"/>
                <w:szCs w:val="24"/>
                <w:highlight w:val="none"/>
              </w:rPr>
              <w:t>规格型号</w:t>
            </w:r>
          </w:p>
        </w:tc>
        <w:tc>
          <w:tcPr>
            <w:tcW w:w="659"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hAnsi="Arial" w:eastAsia="仿宋_GB2312" w:cs="Arial"/>
                <w:kern w:val="0"/>
                <w:sz w:val="24"/>
                <w:szCs w:val="24"/>
                <w:highlight w:val="none"/>
              </w:rPr>
            </w:pPr>
            <w:r>
              <w:rPr>
                <w:rFonts w:hint="eastAsia" w:ascii="仿宋_GB2312" w:hAnsi="Arial" w:eastAsia="仿宋_GB2312" w:cs="Arial"/>
                <w:kern w:val="0"/>
                <w:sz w:val="24"/>
                <w:szCs w:val="24"/>
                <w:highlight w:val="none"/>
              </w:rPr>
              <w:t>单位</w:t>
            </w:r>
          </w:p>
        </w:tc>
        <w:tc>
          <w:tcPr>
            <w:tcW w:w="122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hAnsi="Arial" w:eastAsia="仿宋_GB2312" w:cs="Arial"/>
                <w:kern w:val="0"/>
                <w:sz w:val="24"/>
                <w:szCs w:val="24"/>
                <w:highlight w:val="none"/>
              </w:rPr>
            </w:pPr>
            <w:r>
              <w:rPr>
                <w:rFonts w:hint="eastAsia" w:ascii="仿宋_GB2312" w:hAnsi="Arial" w:eastAsia="仿宋_GB2312" w:cs="Arial"/>
                <w:kern w:val="0"/>
                <w:sz w:val="24"/>
                <w:szCs w:val="24"/>
                <w:highlight w:val="none"/>
              </w:rPr>
              <w:t>数量</w:t>
            </w:r>
          </w:p>
        </w:tc>
        <w:tc>
          <w:tcPr>
            <w:tcW w:w="1629"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hAnsi="Arial" w:eastAsia="仿宋_GB2312" w:cs="Arial"/>
                <w:kern w:val="0"/>
                <w:sz w:val="24"/>
                <w:szCs w:val="24"/>
                <w:highlight w:val="none"/>
              </w:rPr>
            </w:pPr>
            <w:r>
              <w:rPr>
                <w:rFonts w:hint="eastAsia" w:ascii="仿宋_GB2312" w:hAnsi="Arial" w:eastAsia="仿宋_GB2312" w:cs="Arial"/>
                <w:sz w:val="24"/>
                <w:szCs w:val="24"/>
                <w:highlight w:val="none"/>
              </w:rPr>
              <w:t>备     注</w:t>
            </w:r>
          </w:p>
        </w:tc>
      </w:tr>
      <w:tr>
        <w:tblPrEx>
          <w:tblCellMar>
            <w:top w:w="0" w:type="dxa"/>
            <w:left w:w="108" w:type="dxa"/>
            <w:bottom w:w="0" w:type="dxa"/>
            <w:right w:w="108" w:type="dxa"/>
          </w:tblCellMar>
        </w:tblPrEx>
        <w:trPr>
          <w:cantSplit/>
          <w:trHeight w:val="285"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cs="宋体"/>
                <w:kern w:val="0"/>
                <w:sz w:val="24"/>
                <w:szCs w:val="24"/>
                <w:highlight w:val="none"/>
                <w:lang w:val="zh-CN"/>
              </w:rPr>
            </w:pPr>
          </w:p>
        </w:tc>
        <w:tc>
          <w:tcPr>
            <w:tcW w:w="20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cs="宋体"/>
                <w:kern w:val="0"/>
                <w:sz w:val="24"/>
                <w:szCs w:val="24"/>
                <w:highlight w:val="none"/>
                <w:lang w:val="zh-CN"/>
              </w:rPr>
            </w:pPr>
          </w:p>
        </w:tc>
        <w:tc>
          <w:tcPr>
            <w:tcW w:w="198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cs="宋体"/>
                <w:kern w:val="0"/>
                <w:sz w:val="24"/>
                <w:szCs w:val="24"/>
                <w:highlight w:val="none"/>
                <w:lang w:val="zh-CN"/>
              </w:rPr>
            </w:pPr>
          </w:p>
        </w:tc>
        <w:tc>
          <w:tcPr>
            <w:tcW w:w="659"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eastAsia="仿宋_GB2312" w:cs="宋体"/>
                <w:kern w:val="0"/>
                <w:sz w:val="24"/>
                <w:szCs w:val="24"/>
                <w:highlight w:val="none"/>
                <w:lang w:val="zh-CN"/>
              </w:rPr>
            </w:pPr>
          </w:p>
        </w:tc>
        <w:tc>
          <w:tcPr>
            <w:tcW w:w="122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cs="宋体"/>
                <w:kern w:val="0"/>
                <w:sz w:val="24"/>
                <w:szCs w:val="24"/>
                <w:highlight w:val="none"/>
                <w:lang w:val="zh-CN"/>
              </w:rPr>
            </w:pPr>
          </w:p>
        </w:tc>
        <w:tc>
          <w:tcPr>
            <w:tcW w:w="1629"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仿宋_GB2312" w:eastAsia="仿宋_GB2312" w:cs="宋体"/>
                <w:kern w:val="0"/>
                <w:sz w:val="24"/>
                <w:szCs w:val="24"/>
                <w:highlight w:val="none"/>
                <w:lang w:val="zh-CN"/>
              </w:rPr>
            </w:pPr>
          </w:p>
        </w:tc>
      </w:tr>
      <w:tr>
        <w:tblPrEx>
          <w:tblCellMar>
            <w:top w:w="0" w:type="dxa"/>
            <w:left w:w="108" w:type="dxa"/>
            <w:bottom w:w="0" w:type="dxa"/>
            <w:right w:w="108" w:type="dxa"/>
          </w:tblCellMar>
        </w:tblPrEx>
        <w:trPr>
          <w:cantSplit/>
          <w:trHeight w:val="285"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20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198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65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122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162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r>
      <w:tr>
        <w:tblPrEx>
          <w:tblCellMar>
            <w:top w:w="0" w:type="dxa"/>
            <w:left w:w="108" w:type="dxa"/>
            <w:bottom w:w="0" w:type="dxa"/>
            <w:right w:w="108" w:type="dxa"/>
          </w:tblCellMar>
        </w:tblPrEx>
        <w:trPr>
          <w:cantSplit/>
          <w:trHeight w:val="285"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20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198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65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122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162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r>
      <w:tr>
        <w:tblPrEx>
          <w:tblCellMar>
            <w:top w:w="0" w:type="dxa"/>
            <w:left w:w="108" w:type="dxa"/>
            <w:bottom w:w="0" w:type="dxa"/>
            <w:right w:w="108" w:type="dxa"/>
          </w:tblCellMar>
        </w:tblPrEx>
        <w:trPr>
          <w:cantSplit/>
          <w:trHeight w:val="285"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20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198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65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122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162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r>
      <w:tr>
        <w:tblPrEx>
          <w:tblCellMar>
            <w:top w:w="0" w:type="dxa"/>
            <w:left w:w="108" w:type="dxa"/>
            <w:bottom w:w="0" w:type="dxa"/>
            <w:right w:w="108" w:type="dxa"/>
          </w:tblCellMar>
        </w:tblPrEx>
        <w:trPr>
          <w:cantSplit/>
          <w:trHeight w:val="285" w:hRule="atLeast"/>
        </w:trPr>
        <w:tc>
          <w:tcPr>
            <w:tcW w:w="6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209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198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65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122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c>
          <w:tcPr>
            <w:tcW w:w="162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仿宋_GB2312" w:eastAsia="仿宋_GB2312" w:cs="宋体"/>
                <w:kern w:val="0"/>
                <w:sz w:val="24"/>
                <w:szCs w:val="24"/>
                <w:highlight w:val="none"/>
                <w:lang w:val="zh-CN"/>
              </w:rPr>
            </w:pPr>
          </w:p>
        </w:tc>
      </w:tr>
    </w:tbl>
    <w:p>
      <w:pPr>
        <w:numPr>
          <w:ilvl w:val="0"/>
          <w:numId w:val="3"/>
        </w:numPr>
        <w:spacing w:before="157" w:beforeLines="50" w:line="360" w:lineRule="auto"/>
        <w:rPr>
          <w:rFonts w:hint="eastAsia" w:ascii="宋体" w:hAnsi="宋体"/>
          <w:b/>
          <w:color w:val="000000"/>
          <w:sz w:val="24"/>
          <w:szCs w:val="24"/>
          <w:highlight w:val="none"/>
        </w:rPr>
      </w:pPr>
      <w:r>
        <w:rPr>
          <w:rFonts w:hint="eastAsia" w:ascii="宋体" w:hAnsi="宋体"/>
          <w:b/>
          <w:color w:val="000000"/>
          <w:sz w:val="24"/>
          <w:szCs w:val="24"/>
          <w:highlight w:val="none"/>
        </w:rPr>
        <w:t>技术资料及交付进度</w:t>
      </w:r>
    </w:p>
    <w:p>
      <w:pPr>
        <w:numPr>
          <w:ilvl w:val="-1"/>
          <w:numId w:val="0"/>
        </w:numPr>
        <w:spacing w:line="360" w:lineRule="auto"/>
        <w:ind w:left="0" w:firstLine="480" w:firstLineChars="200"/>
        <w:rPr>
          <w:rFonts w:hint="eastAsia" w:ascii="宋体" w:hAnsi="宋体" w:cs="宋体"/>
          <w:sz w:val="24"/>
          <w:szCs w:val="24"/>
          <w:highlight w:val="none"/>
        </w:rPr>
      </w:pPr>
      <w:r>
        <w:rPr>
          <w:rFonts w:hint="eastAsia" w:ascii="宋体" w:hAnsi="宋体" w:cs="宋体"/>
          <w:color w:val="000000"/>
          <w:sz w:val="24"/>
          <w:szCs w:val="24"/>
          <w:highlight w:val="none"/>
          <w:lang w:eastAsia="zh-CN"/>
        </w:rPr>
        <w:t>所有工作</w:t>
      </w:r>
      <w:r>
        <w:rPr>
          <w:rFonts w:hint="eastAsia" w:ascii="宋体" w:hAnsi="宋体" w:cs="宋体"/>
          <w:color w:val="000000"/>
          <w:sz w:val="24"/>
          <w:szCs w:val="24"/>
          <w:highlight w:val="none"/>
        </w:rPr>
        <w:t>完工并通过验收后，</w:t>
      </w:r>
      <w:r>
        <w:rPr>
          <w:rFonts w:hint="eastAsia" w:ascii="宋体" w:hAnsi="宋体" w:cs="宋体"/>
          <w:color w:val="000000"/>
          <w:sz w:val="24"/>
          <w:szCs w:val="24"/>
          <w:highlight w:val="none"/>
          <w:lang w:eastAsia="zh-CN"/>
        </w:rPr>
        <w:t>投标方</w:t>
      </w:r>
      <w:r>
        <w:rPr>
          <w:rFonts w:hint="eastAsia" w:ascii="宋体" w:hAnsi="宋体" w:cs="宋体"/>
          <w:color w:val="000000"/>
          <w:sz w:val="24"/>
          <w:szCs w:val="24"/>
          <w:highlight w:val="none"/>
        </w:rPr>
        <w:t>应于一个月内提交</w:t>
      </w:r>
      <w:r>
        <w:rPr>
          <w:rFonts w:hint="eastAsia" w:ascii="宋体" w:hAnsi="宋体" w:cs="宋体"/>
          <w:color w:val="000000"/>
          <w:sz w:val="24"/>
          <w:szCs w:val="24"/>
          <w:highlight w:val="none"/>
          <w:lang w:eastAsia="zh-CN"/>
        </w:rPr>
        <w:t>维护检查及试验</w:t>
      </w:r>
      <w:r>
        <w:rPr>
          <w:rFonts w:hint="eastAsia" w:ascii="宋体" w:hAnsi="宋体" w:cs="宋体"/>
          <w:color w:val="000000"/>
          <w:sz w:val="24"/>
          <w:szCs w:val="24"/>
          <w:highlight w:val="none"/>
        </w:rPr>
        <w:t>报告</w:t>
      </w:r>
      <w:r>
        <w:rPr>
          <w:rFonts w:hint="eastAsia" w:ascii="宋体" w:hAnsi="宋体" w:cs="宋体"/>
          <w:color w:val="000000"/>
          <w:sz w:val="24"/>
          <w:szCs w:val="24"/>
          <w:highlight w:val="none"/>
          <w:lang w:eastAsia="zh-CN"/>
        </w:rPr>
        <w:t>，其中纸质版</w:t>
      </w:r>
      <w:r>
        <w:rPr>
          <w:rFonts w:hint="eastAsia" w:ascii="宋体" w:hAnsi="宋体" w:cs="宋体"/>
          <w:color w:val="000000"/>
          <w:sz w:val="24"/>
          <w:szCs w:val="24"/>
          <w:highlight w:val="none"/>
          <w:lang w:val="en-US" w:eastAsia="zh-CN"/>
        </w:rPr>
        <w:t>4</w:t>
      </w:r>
      <w:r>
        <w:rPr>
          <w:rFonts w:hint="eastAsia" w:ascii="宋体" w:hAnsi="宋体" w:cs="宋体"/>
          <w:color w:val="000000"/>
          <w:sz w:val="24"/>
          <w:szCs w:val="24"/>
          <w:highlight w:val="none"/>
        </w:rPr>
        <w:t>份</w:t>
      </w:r>
      <w:r>
        <w:rPr>
          <w:rFonts w:hint="eastAsia" w:ascii="宋体" w:hAnsi="宋体" w:cs="宋体"/>
          <w:color w:val="000000"/>
          <w:sz w:val="24"/>
          <w:szCs w:val="24"/>
          <w:highlight w:val="none"/>
          <w:lang w:eastAsia="zh-CN"/>
        </w:rPr>
        <w:t>，</w:t>
      </w:r>
      <w:r>
        <w:rPr>
          <w:rFonts w:hint="eastAsia" w:ascii="宋体" w:hAnsi="宋体" w:eastAsia="宋体" w:cs="宋体"/>
          <w:color w:val="auto"/>
          <w:sz w:val="24"/>
          <w:szCs w:val="24"/>
          <w:highlight w:val="none"/>
        </w:rPr>
        <w:t>电子版2份（</w:t>
      </w:r>
      <w:r>
        <w:rPr>
          <w:rFonts w:hint="eastAsia" w:ascii="宋体" w:hAnsi="宋体" w:eastAsia="宋体" w:cs="宋体"/>
          <w:color w:val="auto"/>
          <w:sz w:val="24"/>
          <w:szCs w:val="24"/>
          <w:highlight w:val="none"/>
          <w:lang w:val="en-US" w:eastAsia="zh-CN"/>
        </w:rPr>
        <w:t>U盘</w:t>
      </w:r>
      <w:r>
        <w:rPr>
          <w:rFonts w:hint="eastAsia" w:ascii="宋体" w:hAnsi="宋体" w:eastAsia="宋体" w:cs="宋体"/>
          <w:color w:val="auto"/>
          <w:sz w:val="24"/>
          <w:szCs w:val="24"/>
          <w:highlight w:val="none"/>
        </w:rPr>
        <w:t>）</w:t>
      </w:r>
      <w:r>
        <w:rPr>
          <w:rFonts w:hint="eastAsia" w:ascii="宋体" w:hAnsi="宋体" w:cs="宋体"/>
          <w:color w:val="000000"/>
          <w:sz w:val="24"/>
          <w:szCs w:val="24"/>
          <w:highlight w:val="none"/>
          <w:lang w:val="en-US" w:eastAsia="zh-CN"/>
        </w:rPr>
        <w:t>。</w:t>
      </w:r>
    </w:p>
    <w:p>
      <w:pPr>
        <w:numPr>
          <w:ilvl w:val="0"/>
          <w:numId w:val="3"/>
        </w:numPr>
        <w:spacing w:before="157" w:beforeLines="50" w:line="360" w:lineRule="auto"/>
        <w:rPr>
          <w:rFonts w:hint="eastAsia" w:ascii="宋体" w:hAnsi="宋体"/>
          <w:b/>
          <w:color w:val="000000"/>
          <w:sz w:val="24"/>
          <w:szCs w:val="24"/>
          <w:highlight w:val="none"/>
        </w:rPr>
      </w:pPr>
      <w:r>
        <w:rPr>
          <w:rFonts w:hint="eastAsia" w:ascii="宋体" w:hAnsi="宋体"/>
          <w:b/>
          <w:sz w:val="24"/>
          <w:szCs w:val="24"/>
          <w:highlight w:val="none"/>
          <w:lang w:eastAsia="zh-CN"/>
        </w:rPr>
        <w:t>考核</w:t>
      </w:r>
    </w:p>
    <w:p>
      <w:pPr>
        <w:spacing w:line="360" w:lineRule="auto"/>
        <w:ind w:firstLine="480" w:firstLineChars="200"/>
        <w:rPr>
          <w:rFonts w:hint="eastAsia" w:ascii="宋体" w:hAnsi="宋体" w:eastAsia="宋体"/>
          <w:color w:val="000000"/>
          <w:sz w:val="24"/>
          <w:szCs w:val="24"/>
        </w:rPr>
      </w:pPr>
      <w:r>
        <w:rPr>
          <w:rFonts w:hint="eastAsia" w:ascii="宋体" w:hAnsi="宋体" w:eastAsia="宋体"/>
          <w:color w:val="000000"/>
          <w:sz w:val="24"/>
          <w:szCs w:val="24"/>
          <w:highlight w:val="none"/>
        </w:rPr>
        <w:t>因</w:t>
      </w:r>
      <w:r>
        <w:rPr>
          <w:rFonts w:hint="eastAsia" w:ascii="宋体" w:hAnsi="宋体" w:eastAsia="宋体"/>
          <w:color w:val="000000"/>
          <w:sz w:val="24"/>
          <w:szCs w:val="24"/>
          <w:highlight w:val="none"/>
          <w:lang w:eastAsia="zh-CN"/>
        </w:rPr>
        <w:t>投标方</w:t>
      </w:r>
      <w:r>
        <w:rPr>
          <w:rFonts w:hint="eastAsia" w:ascii="宋体" w:hAnsi="宋体" w:eastAsia="宋体"/>
          <w:color w:val="000000"/>
          <w:sz w:val="24"/>
          <w:szCs w:val="24"/>
          <w:highlight w:val="none"/>
        </w:rPr>
        <w:t>原因，</w:t>
      </w:r>
      <w:r>
        <w:rPr>
          <w:rFonts w:hint="eastAsia" w:ascii="宋体" w:hAnsi="宋体" w:eastAsia="宋体"/>
          <w:color w:val="000000"/>
          <w:sz w:val="24"/>
          <w:szCs w:val="24"/>
          <w:highlight w:val="none"/>
          <w:lang w:eastAsia="zh-CN"/>
        </w:rPr>
        <w:t>涉及</w:t>
      </w:r>
      <w:r>
        <w:rPr>
          <w:rFonts w:hint="eastAsia" w:ascii="宋体" w:hAnsi="宋体" w:eastAsia="宋体"/>
          <w:color w:val="000000"/>
          <w:sz w:val="24"/>
          <w:szCs w:val="24"/>
          <w:highlight w:val="none"/>
        </w:rPr>
        <w:t>安全、文明、质量</w:t>
      </w:r>
      <w:r>
        <w:rPr>
          <w:rFonts w:hint="eastAsia" w:ascii="宋体" w:hAnsi="宋体" w:eastAsia="宋体"/>
          <w:color w:val="000000"/>
          <w:sz w:val="24"/>
          <w:szCs w:val="24"/>
          <w:highlight w:val="none"/>
          <w:lang w:eastAsia="zh-CN"/>
        </w:rPr>
        <w:t>、</w:t>
      </w:r>
      <w:r>
        <w:rPr>
          <w:rFonts w:hint="eastAsia" w:ascii="宋体" w:hAnsi="宋体" w:eastAsia="宋体"/>
          <w:color w:val="000000"/>
          <w:sz w:val="24"/>
          <w:szCs w:val="24"/>
          <w:highlight w:val="none"/>
          <w:lang w:val="en-US" w:eastAsia="zh-CN"/>
        </w:rPr>
        <w:t>进度等</w:t>
      </w:r>
      <w:r>
        <w:rPr>
          <w:rFonts w:hint="eastAsia" w:ascii="宋体" w:hAnsi="宋体" w:eastAsia="宋体"/>
          <w:color w:val="000000"/>
          <w:sz w:val="24"/>
          <w:szCs w:val="24"/>
          <w:highlight w:val="none"/>
        </w:rPr>
        <w:t>相关事项，按</w:t>
      </w:r>
      <w:r>
        <w:rPr>
          <w:rFonts w:hint="eastAsia" w:ascii="宋体" w:hAnsi="宋体" w:eastAsia="宋体"/>
          <w:color w:val="000000"/>
          <w:sz w:val="24"/>
          <w:szCs w:val="24"/>
          <w:highlight w:val="none"/>
          <w:lang w:val="en-US" w:eastAsia="zh-CN"/>
        </w:rPr>
        <w:t>招标方</w:t>
      </w:r>
      <w:r>
        <w:rPr>
          <w:rFonts w:hint="eastAsia" w:ascii="宋体" w:hAnsi="宋体" w:eastAsia="宋体"/>
          <w:color w:val="000000"/>
          <w:sz w:val="24"/>
          <w:szCs w:val="24"/>
          <w:highlight w:val="none"/>
          <w:lang w:eastAsia="zh-CN"/>
        </w:rPr>
        <w:t>《</w:t>
      </w:r>
      <w:r>
        <w:rPr>
          <w:rFonts w:hint="eastAsia" w:ascii="宋体" w:hAnsi="宋体" w:eastAsia="宋体" w:cs="Times New Roman"/>
          <w:bCs w:val="0"/>
          <w:color w:val="000000"/>
          <w:sz w:val="24"/>
          <w:szCs w:val="24"/>
          <w:highlight w:val="none"/>
        </w:rPr>
        <w:t>施工进度、质量考核实施细则</w:t>
      </w:r>
      <w:r>
        <w:rPr>
          <w:rFonts w:hint="eastAsia" w:ascii="宋体" w:hAnsi="宋体" w:eastAsia="宋体"/>
          <w:color w:val="000000"/>
          <w:sz w:val="24"/>
          <w:szCs w:val="24"/>
          <w:highlight w:val="none"/>
          <w:lang w:eastAsia="zh-CN"/>
        </w:rPr>
        <w:t>》</w:t>
      </w:r>
      <w:r>
        <w:rPr>
          <w:rFonts w:hint="eastAsia" w:ascii="宋体" w:hAnsi="宋体" w:eastAsia="宋体"/>
          <w:color w:val="000000"/>
          <w:sz w:val="24"/>
          <w:szCs w:val="24"/>
          <w:highlight w:val="none"/>
        </w:rPr>
        <w:t>《</w:t>
      </w:r>
      <w:r>
        <w:rPr>
          <w:rFonts w:hint="eastAsia" w:ascii="宋体" w:hAnsi="宋体" w:eastAsia="宋体" w:cs="Times New Roman"/>
          <w:bCs w:val="0"/>
          <w:color w:val="000000"/>
          <w:kern w:val="2"/>
          <w:sz w:val="24"/>
          <w:szCs w:val="24"/>
          <w:highlight w:val="none"/>
          <w:lang w:eastAsia="zh-CN"/>
        </w:rPr>
        <w:t>检修安全健康环保</w:t>
      </w:r>
      <w:r>
        <w:rPr>
          <w:rFonts w:hint="eastAsia" w:ascii="宋体" w:hAnsi="宋体" w:eastAsia="宋体" w:cs="Times New Roman"/>
          <w:bCs w:val="0"/>
          <w:color w:val="000000"/>
          <w:kern w:val="2"/>
          <w:sz w:val="24"/>
          <w:szCs w:val="24"/>
          <w:highlight w:val="none"/>
        </w:rPr>
        <w:t>考核实施细则</w:t>
      </w:r>
      <w:r>
        <w:rPr>
          <w:rFonts w:hint="eastAsia" w:ascii="宋体" w:hAnsi="宋体" w:eastAsia="宋体"/>
          <w:color w:val="000000"/>
          <w:sz w:val="24"/>
          <w:szCs w:val="24"/>
          <w:highlight w:val="none"/>
        </w:rPr>
        <w:t>》</w:t>
      </w:r>
      <w:r>
        <w:rPr>
          <w:rFonts w:hint="eastAsia" w:ascii="宋体" w:hAnsi="宋体" w:eastAsia="宋体"/>
          <w:color w:val="000000"/>
          <w:sz w:val="24"/>
          <w:szCs w:val="24"/>
          <w:highlight w:val="none"/>
          <w:lang w:eastAsia="zh-CN"/>
        </w:rPr>
        <w:t>（</w:t>
      </w:r>
      <w:r>
        <w:rPr>
          <w:rFonts w:hint="eastAsia" w:ascii="宋体" w:hAnsi="宋体" w:eastAsia="宋体"/>
          <w:color w:val="000000"/>
          <w:sz w:val="24"/>
          <w:szCs w:val="24"/>
          <w:highlight w:val="none"/>
          <w:lang w:val="en-US" w:eastAsia="zh-CN"/>
        </w:rPr>
        <w:t>详见附件3、4</w:t>
      </w:r>
      <w:r>
        <w:rPr>
          <w:rFonts w:hint="eastAsia" w:ascii="宋体" w:hAnsi="宋体" w:eastAsia="宋体"/>
          <w:color w:val="000000"/>
          <w:sz w:val="24"/>
          <w:szCs w:val="24"/>
          <w:highlight w:val="none"/>
          <w:lang w:eastAsia="zh-CN"/>
        </w:rPr>
        <w:t>）以及招标方《安全环保奖惩管理办法》等</w:t>
      </w:r>
      <w:bookmarkEnd w:id="28"/>
      <w:r>
        <w:rPr>
          <w:rFonts w:hint="eastAsia" w:ascii="宋体" w:hAnsi="宋体" w:eastAsia="宋体"/>
          <w:color w:val="000000"/>
          <w:sz w:val="24"/>
          <w:szCs w:val="24"/>
          <w:lang w:eastAsia="zh-CN"/>
        </w:rPr>
        <w:t>相关文件</w:t>
      </w:r>
      <w:r>
        <w:rPr>
          <w:rFonts w:hint="eastAsia" w:ascii="宋体" w:hAnsi="宋体" w:eastAsia="宋体"/>
          <w:color w:val="000000"/>
          <w:sz w:val="24"/>
          <w:szCs w:val="24"/>
        </w:rPr>
        <w:t>执行。</w:t>
      </w:r>
    </w:p>
    <w:p>
      <w:pPr>
        <w:spacing w:line="360" w:lineRule="auto"/>
        <w:ind w:firstLine="480" w:firstLineChars="200"/>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因</w:t>
      </w:r>
      <w:r>
        <w:rPr>
          <w:rFonts w:hint="eastAsia" w:ascii="宋体" w:hAnsi="宋体" w:eastAsia="宋体"/>
          <w:color w:val="000000"/>
          <w:sz w:val="24"/>
          <w:szCs w:val="24"/>
          <w:lang w:eastAsia="zh-CN"/>
        </w:rPr>
        <w:t>投标方</w:t>
      </w:r>
      <w:r>
        <w:rPr>
          <w:rFonts w:hint="eastAsia" w:ascii="宋体" w:hAnsi="宋体" w:eastAsia="宋体"/>
          <w:color w:val="000000"/>
          <w:sz w:val="24"/>
          <w:szCs w:val="24"/>
        </w:rPr>
        <w:t>原因</w:t>
      </w:r>
      <w:r>
        <w:rPr>
          <w:rFonts w:hint="eastAsia" w:ascii="宋体" w:hAnsi="宋体" w:eastAsia="宋体"/>
          <w:color w:val="000000"/>
          <w:sz w:val="24"/>
          <w:szCs w:val="24"/>
          <w:lang w:eastAsia="zh-CN"/>
        </w:rPr>
        <w:t>，未能在招标方要求的时间内赶赴至招标方现场或因技能无法顺利完成试验，影响试验进度以及机组的启动，按</w:t>
      </w:r>
      <w:r>
        <w:rPr>
          <w:rFonts w:hint="eastAsia" w:ascii="宋体" w:hAnsi="宋体" w:eastAsia="宋体"/>
          <w:color w:val="000000"/>
          <w:sz w:val="24"/>
          <w:szCs w:val="24"/>
          <w:lang w:val="en-US" w:eastAsia="zh-CN"/>
        </w:rPr>
        <w:t>5000元/天进行考核。</w:t>
      </w:r>
    </w:p>
    <w:p>
      <w:pPr>
        <w:numPr>
          <w:ilvl w:val="0"/>
          <w:numId w:val="3"/>
        </w:numPr>
        <w:spacing w:before="157" w:beforeLines="50" w:line="360" w:lineRule="auto"/>
        <w:ind w:left="425"/>
        <w:rPr>
          <w:rFonts w:hint="eastAsia" w:ascii="宋体" w:hAnsi="宋体"/>
          <w:b/>
          <w:color w:val="000000"/>
          <w:sz w:val="24"/>
          <w:szCs w:val="24"/>
        </w:rPr>
      </w:pPr>
      <w:r>
        <w:rPr>
          <w:rFonts w:hint="eastAsia" w:ascii="宋体" w:hAnsi="宋体"/>
          <w:b/>
          <w:sz w:val="24"/>
          <w:szCs w:val="24"/>
        </w:rPr>
        <w:t>附件</w:t>
      </w:r>
    </w:p>
    <w:p>
      <w:pPr>
        <w:keepNext w:val="0"/>
        <w:keepLines w:val="0"/>
        <w:numPr>
          <w:ilvl w:val="-1"/>
          <w:numId w:val="0"/>
        </w:numPr>
        <w:spacing w:line="360" w:lineRule="auto"/>
        <w:ind w:left="0" w:firstLine="0"/>
        <w:rPr>
          <w:rFonts w:hint="eastAsia" w:ascii="宋体" w:hAnsi="宋体" w:eastAsia="宋体" w:cs="Times New Roman"/>
          <w:bCs w:val="0"/>
          <w:color w:val="000000"/>
          <w:sz w:val="24"/>
          <w:szCs w:val="24"/>
        </w:rPr>
      </w:pPr>
      <w:r>
        <w:rPr>
          <w:rFonts w:hint="eastAsia" w:ascii="宋体" w:hAnsi="宋体" w:eastAsia="宋体" w:cs="Times New Roman"/>
          <w:bCs w:val="0"/>
          <w:color w:val="000000"/>
          <w:sz w:val="24"/>
          <w:szCs w:val="24"/>
          <w:lang w:val="en-US" w:eastAsia="zh-CN"/>
        </w:rPr>
        <w:t>附件1</w:t>
      </w:r>
      <w:r>
        <w:rPr>
          <w:rFonts w:hint="eastAsia" w:ascii="宋体" w:hAnsi="宋体" w:cs="Times New Roman"/>
          <w:bCs w:val="0"/>
          <w:color w:val="000000"/>
          <w:sz w:val="24"/>
          <w:szCs w:val="24"/>
          <w:lang w:val="en-US" w:eastAsia="zh-CN"/>
        </w:rPr>
        <w:t>：外来承包商</w:t>
      </w:r>
      <w:r>
        <w:rPr>
          <w:rFonts w:hint="eastAsia" w:ascii="宋体" w:hAnsi="宋体" w:cs="Times New Roman"/>
          <w:bCs w:val="0"/>
          <w:color w:val="000000"/>
          <w:kern w:val="2"/>
          <w:sz w:val="24"/>
          <w:szCs w:val="24"/>
          <w:lang w:eastAsia="zh-CN"/>
        </w:rPr>
        <w:t>安全生产管理协议</w:t>
      </w:r>
    </w:p>
    <w:p>
      <w:pPr>
        <w:numPr>
          <w:ilvl w:val="0"/>
          <w:numId w:val="0"/>
        </w:numPr>
        <w:spacing w:line="360" w:lineRule="auto"/>
        <w:ind w:left="0" w:firstLine="0"/>
        <w:rPr>
          <w:rFonts w:ascii="宋体" w:hAnsi="宋体"/>
          <w:color w:val="000000"/>
          <w:sz w:val="24"/>
          <w:szCs w:val="24"/>
        </w:rPr>
      </w:pPr>
      <w:r>
        <w:rPr>
          <w:rFonts w:hint="eastAsia" w:ascii="宋体" w:hAnsi="宋体" w:eastAsia="宋体" w:cs="Times New Roman"/>
          <w:bCs w:val="0"/>
          <w:color w:val="000000"/>
          <w:kern w:val="2"/>
          <w:sz w:val="24"/>
          <w:szCs w:val="24"/>
        </w:rPr>
        <w:t>附件2</w:t>
      </w:r>
      <w:r>
        <w:rPr>
          <w:rFonts w:hint="eastAsia" w:ascii="宋体" w:hAnsi="宋体" w:cs="Times New Roman"/>
          <w:bCs w:val="0"/>
          <w:color w:val="000000"/>
          <w:kern w:val="2"/>
          <w:sz w:val="24"/>
          <w:szCs w:val="24"/>
          <w:lang w:eastAsia="zh-CN"/>
        </w:rPr>
        <w:t>：外来承包商环保管理协议</w:t>
      </w:r>
    </w:p>
    <w:p>
      <w:pPr>
        <w:keepNext w:val="0"/>
        <w:keepLines w:val="0"/>
        <w:numPr>
          <w:ilvl w:val="-1"/>
          <w:numId w:val="0"/>
        </w:numPr>
        <w:spacing w:line="360" w:lineRule="auto"/>
        <w:ind w:left="0" w:firstLine="0"/>
        <w:rPr>
          <w:rFonts w:hint="eastAsia" w:ascii="宋体" w:hAnsi="宋体" w:eastAsia="宋体" w:cs="Times New Roman"/>
          <w:bCs w:val="0"/>
          <w:color w:val="000000"/>
          <w:sz w:val="24"/>
          <w:szCs w:val="24"/>
        </w:rPr>
      </w:pPr>
      <w:r>
        <w:rPr>
          <w:rFonts w:hint="eastAsia" w:ascii="宋体" w:hAnsi="宋体" w:eastAsia="宋体" w:cs="Times New Roman"/>
          <w:bCs w:val="0"/>
          <w:color w:val="000000"/>
          <w:sz w:val="24"/>
          <w:szCs w:val="24"/>
          <w:lang w:val="en-US" w:eastAsia="zh-CN"/>
        </w:rPr>
        <w:t>附件</w:t>
      </w:r>
      <w:r>
        <w:rPr>
          <w:rFonts w:hint="eastAsia" w:ascii="宋体" w:hAnsi="宋体" w:cs="Times New Roman"/>
          <w:bCs w:val="0"/>
          <w:color w:val="000000"/>
          <w:sz w:val="24"/>
          <w:szCs w:val="24"/>
          <w:lang w:val="en-US" w:eastAsia="zh-CN"/>
        </w:rPr>
        <w:t>3：</w:t>
      </w:r>
      <w:r>
        <w:rPr>
          <w:rFonts w:hint="eastAsia" w:ascii="宋体" w:hAnsi="宋体" w:cs="宋体"/>
          <w:bCs/>
          <w:sz w:val="24"/>
          <w:szCs w:val="24"/>
        </w:rPr>
        <w:t>施工进度、质量考核实施细则</w:t>
      </w:r>
    </w:p>
    <w:p>
      <w:pPr>
        <w:numPr>
          <w:ilvl w:val="0"/>
          <w:numId w:val="0"/>
        </w:numPr>
        <w:spacing w:line="360" w:lineRule="auto"/>
        <w:ind w:left="0" w:firstLine="0"/>
        <w:rPr>
          <w:rFonts w:ascii="宋体" w:hAnsi="宋体"/>
          <w:color w:val="000000"/>
          <w:sz w:val="24"/>
          <w:szCs w:val="24"/>
        </w:rPr>
      </w:pPr>
      <w:r>
        <w:rPr>
          <w:rFonts w:hint="eastAsia" w:ascii="宋体" w:hAnsi="宋体" w:eastAsia="宋体" w:cs="Times New Roman"/>
          <w:bCs w:val="0"/>
          <w:color w:val="000000"/>
          <w:kern w:val="2"/>
          <w:sz w:val="24"/>
          <w:szCs w:val="24"/>
        </w:rPr>
        <w:t>附件</w:t>
      </w:r>
      <w:r>
        <w:rPr>
          <w:rFonts w:hint="eastAsia" w:ascii="宋体" w:hAnsi="宋体" w:cs="Times New Roman"/>
          <w:bCs w:val="0"/>
          <w:color w:val="000000"/>
          <w:kern w:val="2"/>
          <w:sz w:val="24"/>
          <w:szCs w:val="24"/>
          <w:lang w:val="en-US" w:eastAsia="zh-CN"/>
        </w:rPr>
        <w:t>4</w:t>
      </w:r>
      <w:r>
        <w:rPr>
          <w:rFonts w:hint="eastAsia" w:ascii="宋体" w:hAnsi="宋体" w:cs="Times New Roman"/>
          <w:bCs w:val="0"/>
          <w:color w:val="000000"/>
          <w:kern w:val="2"/>
          <w:sz w:val="24"/>
          <w:szCs w:val="24"/>
          <w:lang w:eastAsia="zh-CN"/>
        </w:rPr>
        <w:t>：</w:t>
      </w:r>
      <w:r>
        <w:rPr>
          <w:rFonts w:hint="eastAsia" w:ascii="宋体" w:hAnsi="宋体" w:cs="宋体"/>
          <w:bCs/>
          <w:kern w:val="0"/>
          <w:sz w:val="24"/>
          <w:szCs w:val="24"/>
          <w:lang w:eastAsia="zh-CN"/>
        </w:rPr>
        <w:t>检修安全健康环保</w:t>
      </w:r>
      <w:r>
        <w:rPr>
          <w:rFonts w:hint="eastAsia" w:ascii="宋体" w:hAnsi="宋体" w:cs="宋体"/>
          <w:bCs/>
          <w:kern w:val="0"/>
          <w:sz w:val="24"/>
          <w:szCs w:val="24"/>
        </w:rPr>
        <w:t>考核实施细则</w:t>
      </w:r>
    </w:p>
    <w:p>
      <w:pPr>
        <w:tabs>
          <w:tab w:val="left" w:pos="756"/>
        </w:tabs>
        <w:snapToGrid w:val="0"/>
        <w:spacing w:line="360" w:lineRule="auto"/>
        <w:jc w:val="left"/>
        <w:outlineLvl w:val="0"/>
        <w:rPr>
          <w:rFonts w:hint="eastAsia" w:cs="Times New Roman"/>
          <w:kern w:val="2"/>
          <w:sz w:val="21"/>
          <w:szCs w:val="22"/>
          <w:lang w:val="en-US" w:eastAsia="zh-CN" w:bidi="ar-SA"/>
        </w:rPr>
      </w:pPr>
      <w:r>
        <w:rPr>
          <w:rFonts w:hint="eastAsia" w:cs="Times New Roman"/>
          <w:kern w:val="2"/>
          <w:sz w:val="21"/>
          <w:szCs w:val="22"/>
          <w:lang w:val="en-US" w:eastAsia="zh-CN" w:bidi="ar-SA"/>
        </w:rPr>
        <w:tab/>
      </w:r>
      <w:bookmarkStart w:id="14" w:name="_Toc409950736"/>
      <w:bookmarkStart w:id="15" w:name="_Toc409956246"/>
      <w:bookmarkStart w:id="16" w:name="_Toc409949871"/>
      <w:bookmarkStart w:id="17" w:name="_Toc252258221"/>
      <w:bookmarkStart w:id="18" w:name="_Toc18153"/>
      <w:bookmarkStart w:id="19" w:name="_Toc28691"/>
      <w:bookmarkStart w:id="20" w:name="_Toc1409"/>
    </w:p>
    <w:p>
      <w:pPr>
        <w:tabs>
          <w:tab w:val="left" w:pos="756"/>
        </w:tabs>
        <w:snapToGrid w:val="0"/>
        <w:spacing w:line="360" w:lineRule="auto"/>
        <w:jc w:val="left"/>
        <w:outlineLvl w:val="0"/>
        <w:rPr>
          <w:rFonts w:hint="eastAsia" w:cs="Times New Roman"/>
          <w:kern w:val="2"/>
          <w:sz w:val="21"/>
          <w:szCs w:val="22"/>
          <w:lang w:val="en-US" w:eastAsia="zh-CN" w:bidi="ar-SA"/>
        </w:rPr>
      </w:pPr>
    </w:p>
    <w:p>
      <w:pPr>
        <w:tabs>
          <w:tab w:val="left" w:pos="756"/>
        </w:tabs>
        <w:snapToGrid w:val="0"/>
        <w:spacing w:line="360" w:lineRule="auto"/>
        <w:jc w:val="left"/>
        <w:outlineLvl w:val="0"/>
        <w:rPr>
          <w:rFonts w:hint="eastAsia" w:cs="Times New Roman"/>
          <w:kern w:val="2"/>
          <w:sz w:val="21"/>
          <w:szCs w:val="22"/>
          <w:lang w:val="en-US" w:eastAsia="zh-CN" w:bidi="ar-SA"/>
        </w:rPr>
      </w:pPr>
    </w:p>
    <w:p>
      <w:pPr>
        <w:tabs>
          <w:tab w:val="left" w:pos="756"/>
        </w:tabs>
        <w:snapToGrid w:val="0"/>
        <w:spacing w:line="360" w:lineRule="auto"/>
        <w:jc w:val="left"/>
        <w:outlineLvl w:val="0"/>
        <w:rPr>
          <w:rFonts w:hint="eastAsia" w:cs="Times New Roman"/>
          <w:kern w:val="2"/>
          <w:sz w:val="21"/>
          <w:szCs w:val="22"/>
          <w:lang w:val="en-US" w:eastAsia="zh-CN" w:bidi="ar-SA"/>
        </w:rPr>
      </w:pPr>
    </w:p>
    <w:p>
      <w:pPr>
        <w:tabs>
          <w:tab w:val="left" w:pos="756"/>
        </w:tabs>
        <w:snapToGrid w:val="0"/>
        <w:spacing w:line="360" w:lineRule="auto"/>
        <w:jc w:val="left"/>
        <w:outlineLvl w:val="0"/>
        <w:rPr>
          <w:rFonts w:hint="eastAsia" w:cs="Times New Roman"/>
          <w:kern w:val="2"/>
          <w:sz w:val="21"/>
          <w:szCs w:val="22"/>
          <w:lang w:val="en-US" w:eastAsia="zh-CN" w:bidi="ar-SA"/>
        </w:rPr>
      </w:pPr>
    </w:p>
    <w:p>
      <w:pPr>
        <w:tabs>
          <w:tab w:val="left" w:pos="756"/>
        </w:tabs>
        <w:snapToGrid w:val="0"/>
        <w:spacing w:line="360" w:lineRule="auto"/>
        <w:jc w:val="left"/>
        <w:outlineLvl w:val="0"/>
        <w:rPr>
          <w:rFonts w:hint="eastAsia" w:cs="Times New Roman"/>
          <w:kern w:val="2"/>
          <w:sz w:val="21"/>
          <w:szCs w:val="22"/>
          <w:lang w:val="en-US" w:eastAsia="zh-CN" w:bidi="ar-SA"/>
        </w:rPr>
      </w:pPr>
    </w:p>
    <w:p>
      <w:pPr>
        <w:tabs>
          <w:tab w:val="left" w:pos="756"/>
        </w:tabs>
        <w:snapToGrid w:val="0"/>
        <w:spacing w:line="360" w:lineRule="auto"/>
        <w:jc w:val="left"/>
        <w:outlineLvl w:val="0"/>
        <w:rPr>
          <w:rFonts w:hint="eastAsia" w:cs="Times New Roman"/>
          <w:kern w:val="2"/>
          <w:sz w:val="21"/>
          <w:szCs w:val="22"/>
          <w:lang w:val="en-US" w:eastAsia="zh-CN" w:bidi="ar-SA"/>
        </w:rPr>
      </w:pPr>
    </w:p>
    <w:p>
      <w:pPr>
        <w:tabs>
          <w:tab w:val="left" w:pos="756"/>
        </w:tabs>
        <w:snapToGrid w:val="0"/>
        <w:spacing w:line="360" w:lineRule="auto"/>
        <w:jc w:val="left"/>
        <w:outlineLvl w:val="0"/>
        <w:rPr>
          <w:rFonts w:hint="eastAsia" w:cs="Times New Roman"/>
          <w:kern w:val="2"/>
          <w:sz w:val="21"/>
          <w:szCs w:val="22"/>
          <w:lang w:val="en-US" w:eastAsia="zh-CN" w:bidi="ar-SA"/>
        </w:rPr>
      </w:pPr>
    </w:p>
    <w:p>
      <w:pPr>
        <w:tabs>
          <w:tab w:val="left" w:pos="756"/>
        </w:tabs>
        <w:snapToGrid w:val="0"/>
        <w:spacing w:line="360" w:lineRule="auto"/>
        <w:jc w:val="left"/>
        <w:outlineLvl w:val="0"/>
        <w:rPr>
          <w:rFonts w:hint="eastAsia" w:cs="Times New Roman"/>
          <w:kern w:val="2"/>
          <w:sz w:val="21"/>
          <w:szCs w:val="22"/>
          <w:lang w:val="en-US" w:eastAsia="zh-CN" w:bidi="ar-SA"/>
        </w:rPr>
      </w:pPr>
    </w:p>
    <w:p>
      <w:pPr>
        <w:tabs>
          <w:tab w:val="left" w:pos="756"/>
        </w:tabs>
        <w:snapToGrid w:val="0"/>
        <w:spacing w:line="360" w:lineRule="auto"/>
        <w:jc w:val="left"/>
        <w:outlineLvl w:val="0"/>
        <w:rPr>
          <w:rFonts w:hint="eastAsia" w:cs="Times New Roman"/>
          <w:kern w:val="2"/>
          <w:sz w:val="21"/>
          <w:szCs w:val="22"/>
          <w:lang w:val="en-US" w:eastAsia="zh-CN" w:bidi="ar-SA"/>
        </w:rPr>
      </w:pPr>
    </w:p>
    <w:p>
      <w:pPr>
        <w:tabs>
          <w:tab w:val="left" w:pos="756"/>
        </w:tabs>
        <w:snapToGrid w:val="0"/>
        <w:spacing w:line="360" w:lineRule="auto"/>
        <w:jc w:val="left"/>
        <w:outlineLvl w:val="0"/>
        <w:rPr>
          <w:rFonts w:hint="eastAsia" w:cs="Times New Roman"/>
          <w:kern w:val="2"/>
          <w:sz w:val="21"/>
          <w:szCs w:val="22"/>
          <w:lang w:val="en-US" w:eastAsia="zh-CN" w:bidi="ar-SA"/>
        </w:rPr>
      </w:pPr>
    </w:p>
    <w:p>
      <w:pPr>
        <w:tabs>
          <w:tab w:val="left" w:pos="756"/>
        </w:tabs>
        <w:snapToGrid w:val="0"/>
        <w:spacing w:line="360" w:lineRule="auto"/>
        <w:jc w:val="left"/>
        <w:outlineLvl w:val="0"/>
        <w:rPr>
          <w:rFonts w:hint="eastAsia" w:cs="Times New Roman"/>
          <w:kern w:val="2"/>
          <w:sz w:val="21"/>
          <w:szCs w:val="22"/>
          <w:lang w:val="en-US" w:eastAsia="zh-CN" w:bidi="ar-SA"/>
        </w:rPr>
      </w:pPr>
    </w:p>
    <w:bookmarkEnd w:id="14"/>
    <w:bookmarkEnd w:id="15"/>
    <w:bookmarkEnd w:id="16"/>
    <w:bookmarkEnd w:id="17"/>
    <w:bookmarkEnd w:id="18"/>
    <w:p>
      <w:pPr>
        <w:tabs>
          <w:tab w:val="left" w:pos="756"/>
        </w:tabs>
        <w:snapToGrid w:val="0"/>
        <w:spacing w:line="360" w:lineRule="auto"/>
        <w:jc w:val="left"/>
        <w:outlineLvl w:val="0"/>
        <w:rPr>
          <w:rFonts w:hint="eastAsia" w:ascii="仿宋_GB2312" w:hAnsi="Times New Roman" w:eastAsia="仿宋_GB2312" w:cs="Times New Roman"/>
          <w:b/>
          <w:color w:val="000000"/>
          <w:sz w:val="28"/>
          <w:szCs w:val="28"/>
        </w:rPr>
      </w:pPr>
      <w:bookmarkStart w:id="21" w:name="_Toc29036"/>
      <w:r>
        <w:rPr>
          <w:rFonts w:hint="eastAsia" w:ascii="仿宋_GB2312" w:hAnsi="Times New Roman" w:eastAsia="仿宋_GB2312" w:cs="Times New Roman"/>
          <w:b/>
          <w:color w:val="000000"/>
          <w:sz w:val="28"/>
          <w:szCs w:val="28"/>
        </w:rPr>
        <w:t>附件</w:t>
      </w:r>
      <w:r>
        <w:rPr>
          <w:rFonts w:hint="eastAsia" w:ascii="仿宋_GB2312" w:hAnsi="Times New Roman" w:eastAsia="仿宋_GB2312" w:cs="Times New Roman"/>
          <w:b/>
          <w:color w:val="000000"/>
          <w:sz w:val="28"/>
          <w:szCs w:val="28"/>
          <w:lang w:val="en-US" w:eastAsia="zh-CN"/>
        </w:rPr>
        <w:t>1</w:t>
      </w:r>
      <w:r>
        <w:rPr>
          <w:rFonts w:hint="eastAsia" w:ascii="仿宋_GB2312" w:hAnsi="Times New Roman" w:eastAsia="仿宋_GB2312" w:cs="Times New Roman"/>
          <w:b/>
          <w:color w:val="000000"/>
          <w:sz w:val="28"/>
          <w:szCs w:val="28"/>
        </w:rPr>
        <w:t>：外来承包商安全管理协议</w:t>
      </w:r>
    </w:p>
    <w:p>
      <w:pPr>
        <w:jc w:val="center"/>
        <w:rPr>
          <w:rFonts w:hint="eastAsia" w:ascii="黑体" w:eastAsia="黑体"/>
          <w:sz w:val="36"/>
          <w:szCs w:val="36"/>
        </w:rPr>
      </w:pPr>
      <w:r>
        <w:rPr>
          <w:rFonts w:hint="eastAsia" w:ascii="黑体" w:eastAsia="黑体"/>
          <w:sz w:val="36"/>
          <w:szCs w:val="36"/>
        </w:rPr>
        <w:t>四川泸州川南发电有限责任公司</w:t>
      </w:r>
    </w:p>
    <w:p>
      <w:pPr>
        <w:jc w:val="center"/>
        <w:rPr>
          <w:rFonts w:hint="eastAsia" w:ascii="黑体" w:hAnsi="黑体" w:eastAsia="黑体" w:cs="宋体"/>
          <w:color w:val="000000"/>
          <w:spacing w:val="15"/>
          <w:kern w:val="0"/>
          <w:sz w:val="36"/>
          <w:szCs w:val="28"/>
        </w:rPr>
      </w:pPr>
      <w:r>
        <w:rPr>
          <w:rFonts w:hint="eastAsia" w:ascii="黑体" w:hAnsi="黑体" w:eastAsia="黑体" w:cs="宋体"/>
          <w:color w:val="000000"/>
          <w:spacing w:val="15"/>
          <w:kern w:val="0"/>
          <w:sz w:val="36"/>
          <w:szCs w:val="28"/>
        </w:rPr>
        <w:t>外来承包商安全管理协议</w:t>
      </w:r>
    </w:p>
    <w:p>
      <w:pPr>
        <w:jc w:val="left"/>
        <w:rPr>
          <w:rFonts w:hint="eastAsia" w:ascii="楷体_GB2312" w:hAnsi="宋体" w:eastAsia="楷体_GB2312"/>
          <w:b/>
          <w:sz w:val="24"/>
        </w:rPr>
      </w:pPr>
      <w:r>
        <w:rPr>
          <w:rFonts w:hint="eastAsia" w:ascii="楷体_GB2312" w:hAnsi="宋体" w:eastAsia="楷体_GB2312"/>
          <w:b/>
          <w:sz w:val="24"/>
        </w:rPr>
        <w:t>项目名称：</w:t>
      </w:r>
    </w:p>
    <w:p>
      <w:pPr>
        <w:jc w:val="left"/>
        <w:rPr>
          <w:rFonts w:hint="eastAsia" w:ascii="楷体_GB2312" w:eastAsia="楷体_GB2312"/>
          <w:sz w:val="24"/>
        </w:rPr>
      </w:pPr>
      <w:r>
        <w:rPr>
          <w:rFonts w:hint="eastAsia" w:ascii="楷体_GB2312" w:hAnsi="宋体" w:eastAsia="楷体_GB2312"/>
          <w:b/>
          <w:sz w:val="24"/>
        </w:rPr>
        <w:t>发包人（甲方）：</w:t>
      </w:r>
      <w:r>
        <w:rPr>
          <w:rFonts w:hint="eastAsia" w:ascii="楷体_GB2312" w:eastAsia="楷体_GB2312"/>
          <w:b/>
          <w:sz w:val="24"/>
        </w:rPr>
        <w:t>四川泸州川南发电有限责任公司</w:t>
      </w:r>
    </w:p>
    <w:p>
      <w:pPr>
        <w:jc w:val="left"/>
        <w:rPr>
          <w:rFonts w:hint="eastAsia" w:ascii="仿宋_GB2312" w:hAnsi="宋体" w:eastAsia="仿宋_GB2312" w:cs="Arial"/>
          <w:b/>
          <w:bCs/>
          <w:sz w:val="24"/>
          <w:lang w:val="zh-CN"/>
        </w:rPr>
      </w:pPr>
      <w:r>
        <w:rPr>
          <w:rFonts w:hint="eastAsia" w:ascii="楷体_GB2312" w:eastAsia="楷体_GB2312"/>
          <w:b/>
          <w:sz w:val="24"/>
        </w:rPr>
        <w:t>承包人（乙方）：</w:t>
      </w:r>
    </w:p>
    <w:p>
      <w:pPr>
        <w:ind w:firstLine="480" w:firstLineChars="200"/>
        <w:jc w:val="left"/>
        <w:rPr>
          <w:rFonts w:hint="eastAsia" w:ascii="仿宋_GB2312" w:hAnsi="宋体" w:eastAsia="仿宋_GB2312"/>
          <w:sz w:val="24"/>
        </w:rPr>
      </w:pPr>
      <w:r>
        <w:rPr>
          <w:rFonts w:hint="eastAsia" w:ascii="仿宋_GB2312" w:hAnsi="宋体" w:eastAsia="仿宋_GB2312"/>
          <w:sz w:val="24"/>
        </w:rPr>
        <w:t>为贯彻落实《中华人民共和国安全生产法》及相关法律、法规和条例，坚持“安全第一、预防为主”的方针，强化安全管理，落实安全生产责任制，维护甲乙双方的共同利益，保证服务质量和安全生产，保持良好的工作秩序，确保合同项目按期、安全、优质、高效地完成，保障从业人员的安全健康，保障国家和投资者财产免遭损失，特签订本协议书；乙方在履行项目合同的过程中应遵循本协议的约定。</w:t>
      </w:r>
    </w:p>
    <w:p>
      <w:pPr>
        <w:ind w:firstLine="477" w:firstLineChars="198"/>
        <w:jc w:val="left"/>
        <w:rPr>
          <w:rFonts w:hint="eastAsia" w:ascii="楷体_GB2312" w:hAnsi="宋体" w:eastAsia="楷体_GB2312"/>
          <w:b/>
          <w:sz w:val="24"/>
        </w:rPr>
      </w:pPr>
      <w:r>
        <w:rPr>
          <w:rFonts w:hint="eastAsia" w:ascii="楷体_GB2312" w:hAnsi="宋体" w:eastAsia="楷体_GB2312"/>
          <w:b/>
          <w:sz w:val="24"/>
        </w:rPr>
        <w:t>一、安全文明生产目标</w:t>
      </w:r>
    </w:p>
    <w:p>
      <w:pPr>
        <w:ind w:firstLine="480" w:firstLineChars="200"/>
        <w:rPr>
          <w:rFonts w:hint="eastAsia" w:ascii="仿宋_GB2312" w:hAnsi="宋体" w:eastAsia="仿宋_GB2312"/>
          <w:sz w:val="24"/>
        </w:rPr>
      </w:pPr>
      <w:r>
        <w:rPr>
          <w:rFonts w:hint="eastAsia" w:ascii="仿宋_GB2312" w:hAnsi="宋体" w:eastAsia="仿宋_GB2312"/>
          <w:sz w:val="24"/>
        </w:rPr>
        <w:t>（一）川南发电公司2×600MW机组安全施工管理目标：不发生人身死亡事故，并杜绝以下事故：</w:t>
      </w:r>
    </w:p>
    <w:p>
      <w:pPr>
        <w:ind w:firstLine="480" w:firstLineChars="200"/>
        <w:rPr>
          <w:rFonts w:hint="eastAsia" w:ascii="仿宋_GB2312" w:hAnsi="宋体" w:eastAsia="仿宋_GB2312" w:cs="宋体"/>
          <w:sz w:val="24"/>
        </w:rPr>
      </w:pPr>
      <w:r>
        <w:rPr>
          <w:rFonts w:hint="eastAsia" w:ascii="仿宋_GB2312" w:hAnsi="宋体" w:eastAsia="仿宋_GB2312" w:cs="宋体"/>
          <w:sz w:val="24"/>
        </w:rPr>
        <w:t>1.</w:t>
      </w:r>
      <w:r>
        <w:rPr>
          <w:rFonts w:hint="eastAsia" w:ascii="仿宋_GB2312" w:hAnsi="Tahoma" w:eastAsia="仿宋_GB2312" w:cs="Tahoma"/>
          <w:sz w:val="24"/>
        </w:rPr>
        <w:t>不发生人身轻伤及以上生产安全人身伤害事故</w:t>
      </w:r>
      <w:r>
        <w:rPr>
          <w:rFonts w:hint="eastAsia" w:ascii="仿宋_GB2312" w:hAnsi="宋体" w:eastAsia="仿宋_GB2312" w:cs="宋体"/>
          <w:sz w:val="24"/>
        </w:rPr>
        <w:t>；</w:t>
      </w:r>
    </w:p>
    <w:p>
      <w:pPr>
        <w:ind w:firstLine="480" w:firstLineChars="200"/>
        <w:rPr>
          <w:rFonts w:hint="eastAsia" w:ascii="仿宋_GB2312" w:hAnsi="宋体" w:eastAsia="仿宋_GB2312" w:cs="宋体"/>
          <w:sz w:val="24"/>
        </w:rPr>
      </w:pPr>
      <w:r>
        <w:rPr>
          <w:rFonts w:hint="eastAsia" w:ascii="仿宋_GB2312" w:hAnsi="宋体" w:eastAsia="仿宋_GB2312" w:cs="宋体"/>
          <w:sz w:val="24"/>
        </w:rPr>
        <w:t>2.</w:t>
      </w:r>
      <w:r>
        <w:rPr>
          <w:rFonts w:hint="eastAsia" w:ascii="仿宋_GB2312" w:hAnsi="Tahoma" w:eastAsia="仿宋_GB2312" w:cs="Tahoma"/>
          <w:sz w:val="24"/>
        </w:rPr>
        <w:t>不发生一般及以上设备、火灾事故</w:t>
      </w:r>
      <w:r>
        <w:rPr>
          <w:rFonts w:hint="eastAsia" w:ascii="仿宋_GB2312" w:hAnsi="宋体" w:eastAsia="仿宋_GB2312" w:cs="宋体"/>
          <w:sz w:val="24"/>
        </w:rPr>
        <w:t>；</w:t>
      </w:r>
    </w:p>
    <w:p>
      <w:pPr>
        <w:ind w:firstLine="480" w:firstLineChars="200"/>
        <w:rPr>
          <w:rFonts w:hint="eastAsia" w:ascii="仿宋_GB2312" w:hAnsi="宋体" w:eastAsia="仿宋_GB2312" w:cs="宋体"/>
          <w:sz w:val="24"/>
        </w:rPr>
      </w:pPr>
      <w:r>
        <w:rPr>
          <w:rFonts w:hint="eastAsia" w:ascii="仿宋_GB2312" w:hAnsi="宋体" w:eastAsia="仿宋_GB2312" w:cs="宋体"/>
          <w:sz w:val="24"/>
        </w:rPr>
        <w:t>3.</w:t>
      </w:r>
      <w:r>
        <w:rPr>
          <w:rFonts w:hint="eastAsia" w:ascii="仿宋_GB2312" w:hAnsi="Tahoma" w:eastAsia="仿宋_GB2312" w:cs="Tahoma"/>
          <w:sz w:val="24"/>
        </w:rPr>
        <w:t>不发生误操作事故</w:t>
      </w:r>
      <w:r>
        <w:rPr>
          <w:rFonts w:hint="eastAsia" w:ascii="仿宋_GB2312" w:hAnsi="宋体" w:eastAsia="仿宋_GB2312" w:cs="宋体"/>
          <w:sz w:val="24"/>
        </w:rPr>
        <w:t>；</w:t>
      </w:r>
    </w:p>
    <w:p>
      <w:pPr>
        <w:ind w:firstLine="480" w:firstLineChars="200"/>
        <w:rPr>
          <w:rFonts w:hint="eastAsia" w:ascii="仿宋_GB2312" w:hAnsi="宋体" w:eastAsia="仿宋_GB2312" w:cs="宋体"/>
          <w:sz w:val="24"/>
        </w:rPr>
      </w:pPr>
      <w:r>
        <w:rPr>
          <w:rFonts w:hint="eastAsia" w:ascii="仿宋_GB2312" w:hAnsi="宋体" w:eastAsia="仿宋_GB2312" w:cs="宋体"/>
          <w:sz w:val="24"/>
        </w:rPr>
        <w:t>4.</w:t>
      </w:r>
      <w:r>
        <w:rPr>
          <w:rFonts w:hint="eastAsia" w:ascii="仿宋_GB2312" w:hAnsi="Tahoma" w:eastAsia="仿宋_GB2312" w:cs="Tahoma"/>
          <w:sz w:val="24"/>
        </w:rPr>
        <w:t>不发生负同等及以上责任的一般交通事故</w:t>
      </w:r>
      <w:r>
        <w:rPr>
          <w:rFonts w:hint="eastAsia" w:ascii="仿宋_GB2312" w:hAnsi="宋体" w:eastAsia="仿宋_GB2312" w:cs="宋体"/>
          <w:sz w:val="24"/>
        </w:rPr>
        <w:t>；</w:t>
      </w:r>
    </w:p>
    <w:p>
      <w:pPr>
        <w:ind w:firstLine="480" w:firstLineChars="200"/>
        <w:rPr>
          <w:rFonts w:hint="eastAsia" w:ascii="仿宋_GB2312" w:hAnsi="宋体" w:eastAsia="仿宋_GB2312" w:cs="宋体"/>
          <w:sz w:val="24"/>
        </w:rPr>
      </w:pPr>
      <w:r>
        <w:rPr>
          <w:rFonts w:hint="eastAsia" w:ascii="仿宋_GB2312" w:hAnsi="宋体" w:eastAsia="仿宋_GB2312" w:cs="宋体"/>
          <w:sz w:val="24"/>
        </w:rPr>
        <w:t>5.</w:t>
      </w:r>
      <w:r>
        <w:rPr>
          <w:rFonts w:hint="eastAsia" w:ascii="仿宋_GB2312" w:hAnsi="Tahoma" w:eastAsia="仿宋_GB2312" w:cs="Tahoma"/>
          <w:sz w:val="24"/>
        </w:rPr>
        <w:t>不发生环境污染事故和灰场垮坝事故</w:t>
      </w:r>
      <w:r>
        <w:rPr>
          <w:rFonts w:hint="eastAsia" w:ascii="仿宋_GB2312" w:hAnsi="宋体" w:eastAsia="仿宋_GB2312" w:cs="宋体"/>
          <w:sz w:val="24"/>
        </w:rPr>
        <w:t>；</w:t>
      </w:r>
    </w:p>
    <w:p>
      <w:pPr>
        <w:ind w:firstLine="480" w:firstLineChars="200"/>
        <w:rPr>
          <w:rFonts w:hint="eastAsia" w:ascii="仿宋_GB2312" w:hAnsi="宋体" w:eastAsia="仿宋_GB2312" w:cs="宋体"/>
          <w:sz w:val="24"/>
        </w:rPr>
      </w:pPr>
      <w:r>
        <w:rPr>
          <w:rFonts w:hint="eastAsia" w:ascii="仿宋_GB2312" w:hAnsi="宋体" w:eastAsia="仿宋_GB2312" w:cs="宋体"/>
          <w:sz w:val="24"/>
        </w:rPr>
        <w:t>6.不发生有重大社会影响的电力安全事件；</w:t>
      </w:r>
    </w:p>
    <w:p>
      <w:pPr>
        <w:ind w:firstLine="480" w:firstLineChars="200"/>
        <w:rPr>
          <w:rFonts w:hint="eastAsia" w:ascii="仿宋_GB2312" w:hAnsi="宋体" w:eastAsia="仿宋_GB2312" w:cs="宋体"/>
          <w:sz w:val="24"/>
        </w:rPr>
      </w:pPr>
      <w:r>
        <w:rPr>
          <w:rFonts w:hint="eastAsia" w:ascii="仿宋_GB2312" w:hAnsi="宋体" w:eastAsia="仿宋_GB2312" w:cs="宋体"/>
          <w:sz w:val="24"/>
        </w:rPr>
        <w:t>7.</w:t>
      </w:r>
      <w:r>
        <w:rPr>
          <w:rFonts w:hint="eastAsia" w:ascii="仿宋_GB2312" w:hAnsi="Tahoma" w:eastAsia="仿宋_GB2312" w:cs="Tahoma"/>
          <w:sz w:val="24"/>
        </w:rPr>
        <w:t>不发生急性职业中毒事件</w:t>
      </w:r>
      <w:r>
        <w:rPr>
          <w:rFonts w:hint="eastAsia" w:ascii="仿宋_GB2312" w:hAnsi="宋体" w:eastAsia="仿宋_GB2312" w:cs="宋体"/>
          <w:sz w:val="24"/>
        </w:rPr>
        <w:t>；</w:t>
      </w:r>
    </w:p>
    <w:p>
      <w:pPr>
        <w:ind w:firstLine="480" w:firstLineChars="200"/>
        <w:rPr>
          <w:rFonts w:hint="eastAsia" w:ascii="仿宋_GB2312" w:hAnsi="Tahoma" w:eastAsia="仿宋_GB2312" w:cs="Tahoma"/>
          <w:sz w:val="24"/>
        </w:rPr>
      </w:pPr>
      <w:r>
        <w:rPr>
          <w:rFonts w:hint="eastAsia" w:ascii="仿宋_GB2312" w:hAnsi="宋体" w:eastAsia="仿宋_GB2312" w:cs="宋体"/>
          <w:sz w:val="24"/>
        </w:rPr>
        <w:t>8.</w:t>
      </w:r>
      <w:r>
        <w:rPr>
          <w:rFonts w:hint="eastAsia" w:ascii="仿宋_GB2312" w:hAnsi="Tahoma" w:eastAsia="仿宋_GB2312" w:cs="Tahoma"/>
          <w:sz w:val="24"/>
        </w:rPr>
        <w:t>机组强迫停运次数≤1次；</w:t>
      </w:r>
    </w:p>
    <w:p>
      <w:pPr>
        <w:ind w:firstLine="480" w:firstLineChars="200"/>
        <w:rPr>
          <w:rFonts w:hint="eastAsia" w:ascii="仿宋_GB2312" w:eastAsia="仿宋_GB2312"/>
          <w:sz w:val="24"/>
        </w:rPr>
      </w:pPr>
      <w:r>
        <w:rPr>
          <w:rFonts w:hint="eastAsia" w:ascii="仿宋_GB2312" w:hAnsi="Tahoma" w:eastAsia="仿宋_GB2312" w:cs="Tahoma"/>
          <w:sz w:val="24"/>
        </w:rPr>
        <w:t>9.年度实现3个百日安全生产记录。</w:t>
      </w:r>
    </w:p>
    <w:p>
      <w:pPr>
        <w:ind w:firstLine="600" w:firstLineChars="250"/>
        <w:jc w:val="left"/>
        <w:rPr>
          <w:rFonts w:hint="eastAsia" w:ascii="仿宋_GB2312" w:hAnsi="宋体" w:eastAsia="仿宋_GB2312"/>
          <w:sz w:val="24"/>
        </w:rPr>
      </w:pPr>
      <w:r>
        <w:rPr>
          <w:rFonts w:hint="eastAsia" w:ascii="仿宋_GB2312" w:hAnsi="宋体" w:eastAsia="仿宋_GB2312"/>
          <w:sz w:val="24"/>
        </w:rPr>
        <w:t>(二)创全国一流安全文明生产现场。</w:t>
      </w:r>
    </w:p>
    <w:p>
      <w:pPr>
        <w:ind w:firstLine="480" w:firstLineChars="200"/>
        <w:jc w:val="left"/>
        <w:rPr>
          <w:rFonts w:hint="eastAsia" w:ascii="宋体" w:hAnsi="宋体"/>
          <w:sz w:val="24"/>
        </w:rPr>
      </w:pPr>
      <w:r>
        <w:rPr>
          <w:rFonts w:hint="eastAsia" w:ascii="仿宋_GB2312" w:hAnsi="宋体" w:eastAsia="仿宋_GB2312"/>
          <w:sz w:val="24"/>
        </w:rPr>
        <w:t>（三）甲乙双方各自安全管理目标应以上述安全文明生产管理目标为基础，不得以自身原因影响上述安全文明生产管理目标的实现。</w:t>
      </w:r>
    </w:p>
    <w:p>
      <w:pPr>
        <w:ind w:firstLine="480" w:firstLineChars="200"/>
        <w:jc w:val="left"/>
        <w:rPr>
          <w:rFonts w:hint="eastAsia" w:ascii="楷体_GB2312" w:hAnsi="宋体" w:eastAsia="楷体_GB2312"/>
          <w:sz w:val="24"/>
        </w:rPr>
      </w:pPr>
      <w:r>
        <w:rPr>
          <w:rFonts w:hint="eastAsia" w:ascii="楷体_GB2312" w:hAnsi="宋体" w:eastAsia="楷体_GB2312"/>
          <w:sz w:val="24"/>
        </w:rPr>
        <w:t>二、</w:t>
      </w:r>
      <w:r>
        <w:rPr>
          <w:rFonts w:hint="eastAsia" w:ascii="楷体_GB2312" w:hAnsi="宋体" w:eastAsia="楷体_GB2312"/>
          <w:b/>
          <w:sz w:val="24"/>
        </w:rPr>
        <w:t>安全管理依据</w:t>
      </w:r>
    </w:p>
    <w:p>
      <w:pPr>
        <w:ind w:firstLine="480" w:firstLineChars="200"/>
        <w:jc w:val="left"/>
        <w:rPr>
          <w:rFonts w:hint="eastAsia" w:ascii="仿宋_GB2312" w:hAnsi="宋体" w:eastAsia="仿宋_GB2312"/>
          <w:sz w:val="24"/>
        </w:rPr>
      </w:pPr>
      <w:r>
        <w:rPr>
          <w:rFonts w:hint="eastAsia" w:ascii="仿宋_GB2312" w:hAnsi="宋体" w:eastAsia="仿宋_GB2312"/>
          <w:sz w:val="24"/>
        </w:rPr>
        <w:t>甲乙双方严格遵守有关安全管理法律、法规和规定，甲方实施安全文明生产管理依据主要有：</w:t>
      </w:r>
    </w:p>
    <w:p>
      <w:pPr>
        <w:ind w:firstLine="480" w:firstLineChars="200"/>
        <w:jc w:val="left"/>
        <w:rPr>
          <w:rFonts w:hint="eastAsia" w:ascii="仿宋_GB2312" w:hAnsi="宋体" w:eastAsia="仿宋_GB2312"/>
          <w:sz w:val="24"/>
        </w:rPr>
      </w:pPr>
      <w:r>
        <w:rPr>
          <w:rFonts w:hint="eastAsia" w:ascii="仿宋_GB2312" w:hAnsi="宋体" w:eastAsia="仿宋_GB2312"/>
          <w:sz w:val="24"/>
        </w:rPr>
        <w:t>（一）国家《安全生产法》（</w:t>
      </w:r>
      <w:r>
        <w:rPr>
          <w:rFonts w:hint="eastAsia" w:ascii="仿宋_GB2312" w:hAnsi="宋体" w:eastAsia="仿宋_GB2312"/>
          <w:b/>
          <w:sz w:val="24"/>
        </w:rPr>
        <w:t>2021</w:t>
      </w:r>
      <w:r>
        <w:rPr>
          <w:rFonts w:hint="eastAsia" w:ascii="仿宋_GB2312" w:hAnsi="宋体" w:eastAsia="仿宋_GB2312"/>
          <w:sz w:val="24"/>
        </w:rPr>
        <w:t>年修订）、国家《特种设备安全法》、《特种设备安全监察条例》（国务院令第549号）、《特种设备作业人员监督管理办法》及道路交通等法律、法规和安全管理文件。</w:t>
      </w:r>
    </w:p>
    <w:p>
      <w:pPr>
        <w:ind w:firstLine="480" w:firstLineChars="200"/>
        <w:jc w:val="left"/>
        <w:rPr>
          <w:rFonts w:hint="eastAsia" w:ascii="仿宋_GB2312" w:hAnsi="宋体" w:eastAsia="仿宋_GB2312"/>
          <w:sz w:val="24"/>
        </w:rPr>
      </w:pPr>
      <w:r>
        <w:rPr>
          <w:rFonts w:hint="eastAsia" w:ascii="仿宋_GB2312" w:hAnsi="宋体" w:eastAsia="仿宋_GB2312"/>
          <w:sz w:val="24"/>
        </w:rPr>
        <w:t>（二）《电力安全事故应急处置和调查处理条例》（国务院令第599号）。</w:t>
      </w:r>
    </w:p>
    <w:p>
      <w:pPr>
        <w:ind w:firstLine="480" w:firstLineChars="200"/>
        <w:jc w:val="left"/>
        <w:rPr>
          <w:rFonts w:hint="eastAsia" w:ascii="仿宋_GB2312" w:hAnsi="宋体" w:eastAsia="仿宋_GB2312"/>
          <w:sz w:val="24"/>
        </w:rPr>
      </w:pPr>
      <w:r>
        <w:rPr>
          <w:rFonts w:hint="eastAsia" w:ascii="仿宋_GB2312" w:hAnsi="宋体" w:eastAsia="仿宋_GB2312"/>
          <w:sz w:val="24"/>
        </w:rPr>
        <w:t>（三）国家《职业病防治法》、《四川省安全生产条例》。</w:t>
      </w:r>
    </w:p>
    <w:p>
      <w:pPr>
        <w:ind w:firstLine="480" w:firstLineChars="200"/>
        <w:jc w:val="left"/>
        <w:rPr>
          <w:rFonts w:hint="eastAsia" w:ascii="仿宋_GB2312" w:hAnsi="宋体" w:eastAsia="仿宋_GB2312"/>
          <w:sz w:val="24"/>
        </w:rPr>
      </w:pPr>
      <w:r>
        <w:rPr>
          <w:rFonts w:hint="eastAsia" w:ascii="仿宋_GB2312" w:hAnsi="宋体" w:eastAsia="仿宋_GB2312"/>
          <w:sz w:val="24"/>
        </w:rPr>
        <w:t>（四）国家电力公司或原电力部有关行业安全管理规定，包括《电力建设文明施工规定及考核办法》、《电力建设安全工作规程-第一部分：火力发电》（</w:t>
      </w:r>
      <w:r>
        <w:rPr>
          <w:rFonts w:hint="eastAsia" w:ascii="仿宋_GB2312" w:hAnsi="宋体" w:eastAsia="仿宋_GB2312"/>
          <w:b/>
          <w:sz w:val="24"/>
        </w:rPr>
        <w:t>DL 5009.1-2014</w:t>
      </w:r>
      <w:r>
        <w:rPr>
          <w:rFonts w:ascii="仿宋_GB2312" w:hAnsi="宋体" w:eastAsia="仿宋_GB2312"/>
          <w:sz w:val="24"/>
        </w:rPr>
        <w:t>）</w:t>
      </w:r>
      <w:r>
        <w:rPr>
          <w:rFonts w:hint="eastAsia" w:ascii="仿宋_GB2312" w:hAnsi="宋体" w:eastAsia="仿宋_GB2312"/>
          <w:sz w:val="24"/>
        </w:rPr>
        <w:t>、《电力建设安全健康与环境管理工作规定》、《电力生产安全工作规定》、国家及行业有关防止电力生产事故二十五项反措的技术要求、《电力安全生产规程-发电厂及变电站电气部分》（</w:t>
      </w:r>
      <w:r>
        <w:rPr>
          <w:rFonts w:hint="eastAsia" w:ascii="仿宋_GB2312" w:hAnsi="宋体" w:eastAsia="仿宋_GB2312"/>
          <w:b/>
          <w:sz w:val="24"/>
        </w:rPr>
        <w:t>GB 26860-2011</w:t>
      </w:r>
      <w:r>
        <w:rPr>
          <w:rFonts w:ascii="仿宋_GB2312" w:hAnsi="宋体" w:eastAsia="仿宋_GB2312"/>
          <w:sz w:val="24"/>
        </w:rPr>
        <w:t>）</w:t>
      </w:r>
      <w:r>
        <w:rPr>
          <w:rFonts w:hint="eastAsia" w:ascii="仿宋_GB2312" w:hAnsi="宋体" w:eastAsia="仿宋_GB2312"/>
          <w:sz w:val="24"/>
        </w:rPr>
        <w:t>、《电力安全工作规程-热力和机械》（</w:t>
      </w:r>
      <w:r>
        <w:rPr>
          <w:rFonts w:hint="eastAsia" w:ascii="仿宋_GB2312" w:hAnsi="宋体" w:eastAsia="仿宋_GB2312"/>
          <w:b/>
          <w:sz w:val="24"/>
        </w:rPr>
        <w:t>GB-26164.1-2010</w:t>
      </w:r>
      <w:r>
        <w:rPr>
          <w:rFonts w:hint="eastAsia" w:ascii="仿宋_GB2312" w:hAnsi="宋体" w:eastAsia="仿宋_GB2312"/>
          <w:sz w:val="24"/>
        </w:rPr>
        <w:t>）、《电力设备典型消防规程》（</w:t>
      </w:r>
      <w:r>
        <w:rPr>
          <w:rFonts w:hint="eastAsia" w:ascii="仿宋_GB2312" w:hAnsi="宋体" w:eastAsia="仿宋_GB2312"/>
          <w:b/>
          <w:sz w:val="24"/>
        </w:rPr>
        <w:t>DL 5027-2015</w:t>
      </w:r>
      <w:r>
        <w:rPr>
          <w:rFonts w:hint="eastAsia" w:ascii="仿宋_GB2312" w:hAnsi="宋体" w:eastAsia="仿宋_GB2312"/>
          <w:sz w:val="24"/>
        </w:rPr>
        <w:t>）等。</w:t>
      </w:r>
    </w:p>
    <w:p>
      <w:pPr>
        <w:ind w:firstLine="480" w:firstLineChars="200"/>
        <w:jc w:val="left"/>
        <w:rPr>
          <w:rFonts w:hint="eastAsia" w:ascii="仿宋_GB2312" w:hAnsi="宋体" w:eastAsia="仿宋_GB2312"/>
          <w:sz w:val="24"/>
        </w:rPr>
      </w:pPr>
      <w:r>
        <w:rPr>
          <w:rFonts w:hint="eastAsia" w:ascii="仿宋_GB2312" w:hAnsi="宋体" w:eastAsia="仿宋_GB2312"/>
          <w:sz w:val="24"/>
        </w:rPr>
        <w:t>（五）甲方上级有关安全管理的规定或文件。</w:t>
      </w:r>
    </w:p>
    <w:p>
      <w:pPr>
        <w:ind w:firstLine="480" w:firstLineChars="200"/>
        <w:jc w:val="left"/>
        <w:rPr>
          <w:rFonts w:hint="eastAsia" w:ascii="仿宋_GB2312" w:hAnsi="宋体" w:eastAsia="仿宋_GB2312"/>
          <w:sz w:val="24"/>
        </w:rPr>
      </w:pPr>
      <w:r>
        <w:rPr>
          <w:rFonts w:hint="eastAsia" w:ascii="仿宋_GB2312" w:hAnsi="宋体" w:eastAsia="仿宋_GB2312"/>
          <w:sz w:val="24"/>
        </w:rPr>
        <w:t>（六）相关招标文件、施工合同有关安全条款。</w:t>
      </w:r>
    </w:p>
    <w:p>
      <w:pPr>
        <w:pStyle w:val="7"/>
        <w:spacing w:line="240" w:lineRule="auto"/>
        <w:ind w:firstLine="420" w:firstLineChars="200"/>
        <w:rPr>
          <w:rFonts w:hint="eastAsia" w:ascii="仿宋_GB2312" w:hAnsi="Arial" w:eastAsia="仿宋_GB2312" w:cs="Arial"/>
          <w:szCs w:val="24"/>
        </w:rPr>
      </w:pPr>
      <w:r>
        <w:rPr>
          <w:rFonts w:hint="eastAsia" w:ascii="仿宋_GB2312" w:eastAsia="仿宋_GB2312"/>
          <w:szCs w:val="24"/>
        </w:rPr>
        <w:t>（七）甲方《四川泸州川南发电有限责任公司安全生产工作规定》、《厂区道路交通安全管理标准》、《环境保护管理标准》、《四川泸州川南发电有限责任公司员工行为规范》、《工作票、操作票管理标准》、《易燃易爆场所工作管理标准》、《特种设备管理标准》、《安全工器具管理标准》、《设备检修安全管理》、《安全环保奖惩管理标准》《不安全情况调查分析及统计报告管理标准》、《安全隐患排查治理管理制度》、《</w:t>
      </w:r>
      <w:r>
        <w:rPr>
          <w:rFonts w:hint="eastAsia" w:ascii="仿宋_GB2312" w:eastAsia="仿宋_GB2312" w:cs="Arial"/>
          <w:bCs/>
          <w:szCs w:val="24"/>
        </w:rPr>
        <w:t>文明生产责任区域划分及管理标准</w:t>
      </w:r>
      <w:r>
        <w:rPr>
          <w:rFonts w:hint="eastAsia" w:ascii="仿宋_GB2312" w:eastAsia="仿宋_GB2312"/>
          <w:szCs w:val="24"/>
        </w:rPr>
        <w:t>》、《公司文明办公管理规定》、《危险废物污染防治管理制度》、《脚手架安全管理标准》、《防止货运车辆超限超载超速管理制度》、《入厂车辆安全管理制度》、《承包商及队伍、其他外来人员安全管理制度》等。</w:t>
      </w:r>
    </w:p>
    <w:p>
      <w:pPr>
        <w:ind w:firstLine="480" w:firstLineChars="200"/>
        <w:jc w:val="left"/>
        <w:rPr>
          <w:rFonts w:hint="eastAsia" w:ascii="仿宋_GB2312" w:hAnsi="宋体" w:eastAsia="仿宋_GB2312"/>
          <w:sz w:val="24"/>
        </w:rPr>
      </w:pPr>
      <w:r>
        <w:rPr>
          <w:rFonts w:hint="eastAsia" w:ascii="仿宋_GB2312" w:hAnsi="宋体" w:eastAsia="仿宋_GB2312"/>
          <w:sz w:val="24"/>
        </w:rPr>
        <w:t xml:space="preserve">（八）承包人依据上述法令、规定或文件制订的有关安全管理且经批准后执行的规定和制度。 </w:t>
      </w:r>
    </w:p>
    <w:p>
      <w:pPr>
        <w:ind w:firstLine="480" w:firstLineChars="200"/>
        <w:rPr>
          <w:rFonts w:hint="eastAsia" w:ascii="仿宋_GB2312" w:hAnsi="宋体" w:eastAsia="仿宋_GB2312"/>
          <w:sz w:val="24"/>
        </w:rPr>
      </w:pPr>
      <w:r>
        <w:rPr>
          <w:rFonts w:hint="eastAsia" w:ascii="仿宋_GB2312" w:hAnsi="宋体" w:eastAsia="仿宋_GB2312"/>
          <w:sz w:val="24"/>
        </w:rPr>
        <w:t>（九）《火力发电企业生产安全设施配置》（</w:t>
      </w:r>
      <w:r>
        <w:rPr>
          <w:rFonts w:hint="eastAsia" w:ascii="仿宋_GB2312" w:hAnsi="宋体" w:eastAsia="仿宋_GB2312"/>
          <w:b/>
          <w:bCs/>
          <w:sz w:val="24"/>
        </w:rPr>
        <w:t>DL／T1123-2009</w:t>
      </w:r>
      <w:r>
        <w:rPr>
          <w:rFonts w:hint="eastAsia" w:ascii="仿宋_GB2312" w:hAnsi="宋体" w:eastAsia="仿宋_GB2312"/>
          <w:sz w:val="24"/>
        </w:rPr>
        <w:t>）</w:t>
      </w:r>
    </w:p>
    <w:p>
      <w:pPr>
        <w:ind w:firstLine="480" w:firstLineChars="200"/>
        <w:jc w:val="left"/>
        <w:rPr>
          <w:rFonts w:hint="eastAsia" w:ascii="仿宋_GB2312" w:hAnsi="宋体" w:eastAsia="仿宋_GB2312"/>
          <w:sz w:val="24"/>
        </w:rPr>
      </w:pPr>
      <w:r>
        <w:rPr>
          <w:rFonts w:hint="eastAsia" w:ascii="仿宋_GB2312" w:hAnsi="宋体" w:eastAsia="仿宋_GB2312"/>
          <w:sz w:val="24"/>
        </w:rPr>
        <w:t>（十）《四川省电力企业安全生产标准化规范及达标评级实施标准（第一版）》（国家电力监管委员会四川省电力监管专员办公室 2012年发布）中生产设备设施及安全作业的要求。</w:t>
      </w:r>
    </w:p>
    <w:p>
      <w:pPr>
        <w:ind w:firstLine="480" w:firstLineChars="200"/>
        <w:rPr>
          <w:rFonts w:hint="eastAsia" w:ascii="仿宋_GB2312" w:hAnsi="仿宋_GB2312" w:eastAsia="仿宋_GB2312" w:cs="仿宋_GB2312"/>
          <w:sz w:val="24"/>
        </w:rPr>
      </w:pPr>
      <w:r>
        <w:rPr>
          <w:rFonts w:hint="eastAsia" w:ascii="仿宋_GB2312" w:eastAsia="仿宋_GB2312"/>
          <w:sz w:val="24"/>
        </w:rPr>
        <w:t>（十一）</w:t>
      </w:r>
      <w:r>
        <w:rPr>
          <w:rFonts w:hint="eastAsia" w:ascii="仿宋_GB2312" w:hAnsi="仿宋_GB2312" w:eastAsia="仿宋_GB2312" w:cs="仿宋_GB2312"/>
          <w:sz w:val="24"/>
        </w:rPr>
        <w:t>川南发电有限责任公司年度安全生产、职业健康及环境保护工作目标。</w:t>
      </w:r>
    </w:p>
    <w:p>
      <w:pPr>
        <w:ind w:firstLine="480" w:firstLineChars="200"/>
        <w:jc w:val="left"/>
        <w:rPr>
          <w:rFonts w:hint="eastAsia" w:ascii="仿宋_GB2312" w:hAnsi="宋体" w:eastAsia="仿宋_GB2312"/>
          <w:sz w:val="24"/>
        </w:rPr>
      </w:pPr>
      <w:r>
        <w:rPr>
          <w:rFonts w:hint="eastAsia" w:ascii="仿宋_GB2312" w:hAnsi="宋体" w:eastAsia="仿宋_GB2312"/>
          <w:sz w:val="24"/>
        </w:rPr>
        <w:t>上述管理依据均以国家、行业及上级部门规定、甲方公司管理制度最新标准执行。乙方在履行项目合同过程中应遵守上述法规、规则。</w:t>
      </w:r>
    </w:p>
    <w:p>
      <w:pPr>
        <w:ind w:firstLine="472" w:firstLineChars="196"/>
        <w:jc w:val="left"/>
        <w:rPr>
          <w:rFonts w:hint="eastAsia" w:ascii="楷体_GB2312" w:hAnsi="宋体" w:eastAsia="楷体_GB2312"/>
          <w:b/>
          <w:sz w:val="24"/>
        </w:rPr>
      </w:pPr>
      <w:r>
        <w:rPr>
          <w:rFonts w:hint="eastAsia" w:ascii="楷体_GB2312" w:hAnsi="宋体" w:eastAsia="楷体_GB2312"/>
          <w:b/>
          <w:sz w:val="24"/>
        </w:rPr>
        <w:t>三、甲乙双方安全管理责任</w:t>
      </w:r>
    </w:p>
    <w:p>
      <w:pPr>
        <w:ind w:firstLine="472" w:firstLineChars="196"/>
        <w:jc w:val="left"/>
        <w:rPr>
          <w:rFonts w:hint="eastAsia" w:ascii="仿宋_GB2312" w:hAnsi="宋体" w:eastAsia="仿宋_GB2312"/>
          <w:b/>
          <w:sz w:val="24"/>
        </w:rPr>
      </w:pPr>
      <w:r>
        <w:rPr>
          <w:rFonts w:hint="eastAsia" w:ascii="仿宋_GB2312" w:hAnsi="宋体" w:eastAsia="仿宋_GB2312"/>
          <w:b/>
          <w:sz w:val="24"/>
        </w:rPr>
        <w:t>（一）甲方责任</w:t>
      </w:r>
    </w:p>
    <w:p>
      <w:pPr>
        <w:ind w:firstLine="480" w:firstLineChars="200"/>
        <w:jc w:val="left"/>
        <w:rPr>
          <w:rFonts w:hint="eastAsia" w:ascii="仿宋_GB2312" w:hAnsi="宋体" w:eastAsia="仿宋_GB2312"/>
          <w:sz w:val="24"/>
        </w:rPr>
      </w:pPr>
      <w:r>
        <w:rPr>
          <w:rFonts w:hint="eastAsia" w:ascii="仿宋_GB2312" w:hAnsi="宋体" w:eastAsia="仿宋_GB2312"/>
          <w:sz w:val="24"/>
        </w:rPr>
        <w:t>1.甲方行政正职是本单位安全文明管理的第一责任者，对本单位的安全文明生产负全面责任，并建立完善好安全生产责任制。</w:t>
      </w:r>
    </w:p>
    <w:p>
      <w:pPr>
        <w:ind w:firstLine="480" w:firstLineChars="200"/>
        <w:jc w:val="left"/>
        <w:rPr>
          <w:rFonts w:hint="eastAsia" w:ascii="仿宋_GB2312" w:hAnsi="宋体" w:eastAsia="仿宋_GB2312"/>
          <w:sz w:val="24"/>
        </w:rPr>
      </w:pPr>
      <w:r>
        <w:rPr>
          <w:rFonts w:hint="eastAsia" w:ascii="仿宋_GB2312" w:hAnsi="宋体" w:eastAsia="仿宋_GB2312"/>
          <w:sz w:val="24"/>
        </w:rPr>
        <w:t>2.按有关规定要求，甲方负责组织成立川南发电安全文明生产管理委员会（简称安委会），安委会下设办公室，办公室安全文明监督组按有关规定负责生产现场的安全文明生产管理；实施安全文明生产监督、检查、指导和考核，但这并不影响和减轻乙方应承担的责任。</w:t>
      </w:r>
    </w:p>
    <w:p>
      <w:pPr>
        <w:ind w:firstLine="480" w:firstLineChars="200"/>
        <w:jc w:val="left"/>
        <w:rPr>
          <w:rFonts w:hint="eastAsia" w:ascii="仿宋_GB2312" w:hAnsi="宋体" w:eastAsia="仿宋_GB2312"/>
          <w:sz w:val="24"/>
        </w:rPr>
      </w:pPr>
      <w:r>
        <w:rPr>
          <w:rFonts w:hint="eastAsia" w:ascii="仿宋_GB2312" w:hAnsi="宋体" w:eastAsia="仿宋_GB2312"/>
          <w:sz w:val="24"/>
        </w:rPr>
        <w:t>3.甲方应严格遵守和执行本协议</w:t>
      </w:r>
      <w:r>
        <w:rPr>
          <w:rFonts w:hint="eastAsia" w:ascii="仿宋_GB2312" w:hAnsi="宋体" w:eastAsia="仿宋_GB2312"/>
          <w:b/>
          <w:sz w:val="24"/>
        </w:rPr>
        <w:t>第二条</w:t>
      </w:r>
      <w:r>
        <w:rPr>
          <w:rFonts w:hint="eastAsia" w:ascii="仿宋_GB2312" w:hAnsi="宋体" w:eastAsia="仿宋_GB2312"/>
          <w:sz w:val="24"/>
        </w:rPr>
        <w:t>中有关安全文明生产管理的规定，不得要求承包人违反安全管理的规定进行施工，不得违章指挥。</w:t>
      </w:r>
    </w:p>
    <w:p>
      <w:pPr>
        <w:ind w:firstLine="480" w:firstLineChars="200"/>
        <w:jc w:val="left"/>
        <w:rPr>
          <w:rFonts w:hint="eastAsia" w:ascii="仿宋_GB2312" w:hAnsi="宋体" w:eastAsia="仿宋_GB2312"/>
          <w:sz w:val="24"/>
        </w:rPr>
      </w:pPr>
      <w:r>
        <w:rPr>
          <w:rFonts w:hint="eastAsia" w:ascii="仿宋_GB2312" w:hAnsi="宋体" w:eastAsia="仿宋_GB2312"/>
          <w:sz w:val="24"/>
        </w:rPr>
        <w:t>4.甲方有责任对其在生产场地的甲方有关人员进行安全教育，并对他们的安全负责。</w:t>
      </w:r>
    </w:p>
    <w:p>
      <w:pPr>
        <w:ind w:firstLine="480" w:firstLineChars="200"/>
        <w:jc w:val="left"/>
        <w:rPr>
          <w:rFonts w:hint="eastAsia" w:ascii="仿宋_GB2312" w:hAnsi="宋体" w:eastAsia="仿宋_GB2312"/>
          <w:sz w:val="24"/>
        </w:rPr>
      </w:pPr>
      <w:r>
        <w:rPr>
          <w:rFonts w:hint="eastAsia" w:ascii="仿宋_GB2312" w:hAnsi="宋体" w:eastAsia="仿宋_GB2312"/>
          <w:sz w:val="24"/>
        </w:rPr>
        <w:t>5.因甲方原因导致的安全事故，甲方应承担相应责任。</w:t>
      </w:r>
    </w:p>
    <w:p>
      <w:pPr>
        <w:ind w:firstLine="472" w:firstLineChars="196"/>
        <w:jc w:val="left"/>
        <w:rPr>
          <w:rFonts w:hint="eastAsia" w:ascii="仿宋_GB2312" w:hAnsi="宋体" w:eastAsia="仿宋_GB2312"/>
          <w:b/>
          <w:sz w:val="24"/>
        </w:rPr>
      </w:pPr>
      <w:r>
        <w:rPr>
          <w:rFonts w:hint="eastAsia" w:ascii="仿宋_GB2312" w:hAnsi="宋体" w:eastAsia="仿宋_GB2312"/>
          <w:b/>
          <w:sz w:val="24"/>
        </w:rPr>
        <w:t>（二）乙方的安全责任</w:t>
      </w:r>
    </w:p>
    <w:p>
      <w:pPr>
        <w:ind w:firstLine="475" w:firstLineChars="198"/>
        <w:jc w:val="left"/>
        <w:rPr>
          <w:rFonts w:hint="eastAsia" w:ascii="仿宋_GB2312" w:hAnsi="宋体" w:eastAsia="仿宋_GB2312"/>
          <w:sz w:val="24"/>
        </w:rPr>
      </w:pPr>
      <w:r>
        <w:rPr>
          <w:rFonts w:hint="eastAsia" w:ascii="仿宋_GB2312" w:hAnsi="宋体" w:eastAsia="仿宋_GB2312"/>
          <w:sz w:val="24"/>
        </w:rPr>
        <w:t>1.乙方行政正职是本单位安全文明生产的第一责任人，对本单位的安全文明生产负全面责任，建立健全并落实全员安全生产责任制</w:t>
      </w:r>
      <w:r>
        <w:rPr>
          <w:rFonts w:hint="eastAsia" w:ascii="仿宋_GB2312" w:hAnsi="宋体" w:eastAsia="仿宋_GB2312" w:cs="Arial"/>
          <w:sz w:val="24"/>
        </w:rPr>
        <w:t>，满足安全管理要求。</w:t>
      </w:r>
    </w:p>
    <w:p>
      <w:pPr>
        <w:ind w:firstLine="480" w:firstLineChars="200"/>
        <w:jc w:val="left"/>
        <w:rPr>
          <w:rFonts w:hint="eastAsia" w:ascii="仿宋_GB2312" w:hAnsi="宋体" w:eastAsia="仿宋_GB2312"/>
          <w:sz w:val="24"/>
        </w:rPr>
      </w:pPr>
      <w:r>
        <w:rPr>
          <w:rFonts w:hint="eastAsia" w:ascii="仿宋_GB2312" w:hAnsi="宋体" w:eastAsia="仿宋_GB2312"/>
          <w:sz w:val="24"/>
        </w:rPr>
        <w:t>2.乙方应事先掌握项目所存在的各种安全风险，按时足额投入安全文明施工费。</w:t>
      </w:r>
      <w:r>
        <w:rPr>
          <w:rFonts w:hint="eastAsia" w:ascii="仿宋_GB2312" w:hAnsi="宋体" w:eastAsia="仿宋_GB2312" w:cs="Arial"/>
          <w:sz w:val="24"/>
        </w:rPr>
        <w:t>乙方应建立健全安全管理机构，配备专职或兼职安全管理人员。鉴于甲方安全管理的需要，特定要求乙方从业人员超过30人（含30人）时应设置安全生产管理机构或配备专职安全生产管理人员；乙方从业人员不足30人的，应配备专职或兼职安全生产管理人员（国家强制规定必须设置专职安全管理人员的项目除外）。乙方应定期对作业人员进行安全培训，提升人员的安全意识和安全技能，使其了解作业中可能面临的安全风险和必须采取的防范措施。乙方应组织开展各类安全检查和隐患排查，乙方专（兼）职安全生产管理人员应对作业现场、作业环境、施工人员作业行为等进行检查、监督与协调，并经常向现场甲方汇报安全监督管理情况。</w:t>
      </w:r>
    </w:p>
    <w:p>
      <w:pPr>
        <w:ind w:firstLine="480" w:firstLineChars="200"/>
        <w:jc w:val="left"/>
        <w:rPr>
          <w:rFonts w:hint="eastAsia" w:ascii="仿宋_GB2312" w:hAnsi="宋体" w:eastAsia="仿宋_GB2312"/>
          <w:sz w:val="24"/>
        </w:rPr>
      </w:pPr>
      <w:r>
        <w:rPr>
          <w:rFonts w:hint="eastAsia" w:ascii="仿宋_GB2312" w:hAnsi="宋体" w:eastAsia="仿宋_GB2312"/>
          <w:sz w:val="24"/>
        </w:rPr>
        <w:t>3.乙方严格遵守和执行本协议</w:t>
      </w:r>
      <w:r>
        <w:rPr>
          <w:rFonts w:hint="eastAsia" w:ascii="仿宋_GB2312" w:hAnsi="宋体" w:eastAsia="仿宋_GB2312"/>
          <w:b/>
          <w:sz w:val="24"/>
        </w:rPr>
        <w:t>第二条</w:t>
      </w:r>
      <w:r>
        <w:rPr>
          <w:rFonts w:hint="eastAsia" w:ascii="仿宋_GB2312" w:hAnsi="宋体" w:eastAsia="仿宋_GB2312"/>
          <w:sz w:val="24"/>
        </w:rPr>
        <w:t>有关法律法规及安全管理规章制度，并结合本单位和生产特点，编制适合自身安全需要的安全管理制度，并注重落实和执行。</w:t>
      </w:r>
    </w:p>
    <w:p>
      <w:pPr>
        <w:ind w:firstLine="480" w:firstLineChars="200"/>
        <w:jc w:val="left"/>
        <w:rPr>
          <w:rFonts w:hint="eastAsia" w:ascii="仿宋_GB2312" w:hAnsi="宋体" w:eastAsia="仿宋_GB2312"/>
          <w:sz w:val="24"/>
        </w:rPr>
      </w:pPr>
      <w:r>
        <w:rPr>
          <w:rFonts w:hint="eastAsia" w:ascii="仿宋_GB2312" w:hAnsi="宋体" w:eastAsia="仿宋_GB2312"/>
          <w:sz w:val="24"/>
        </w:rPr>
        <w:t>4.乙方根据本生产现场和作业特点，编制合理的施工组织设计，制订完善的施工方案并按有关规定报审通过后执行；方案中必须包括：完善的安全技术设施、现场安全保障措施、安全防护措施。</w:t>
      </w:r>
      <w:r>
        <w:rPr>
          <w:rFonts w:hint="eastAsia" w:ascii="仿宋_GB2312" w:hAnsi="宋体" w:eastAsia="仿宋_GB2312" w:cs="Arial"/>
          <w:sz w:val="24"/>
        </w:rPr>
        <w:t>乙方在组织施工时严禁违章指挥、违章作业、违反劳动纪律，确保施工安全。</w:t>
      </w:r>
    </w:p>
    <w:p>
      <w:pPr>
        <w:ind w:firstLine="480" w:firstLineChars="200"/>
        <w:jc w:val="left"/>
        <w:rPr>
          <w:rFonts w:hint="eastAsia" w:ascii="仿宋_GB2312" w:hAnsi="宋体" w:eastAsia="仿宋_GB2312"/>
          <w:sz w:val="24"/>
        </w:rPr>
      </w:pPr>
      <w:r>
        <w:rPr>
          <w:rFonts w:hint="eastAsia" w:ascii="仿宋_GB2312" w:hAnsi="宋体" w:eastAsia="仿宋_GB2312"/>
          <w:sz w:val="24"/>
        </w:rPr>
        <w:t>5.乙方服从甲方安委会及其办公室对安全文明生产的管理，随时接受安全检查人员的监督检查。参加本现场有关定期和不定期安全活动（会议、检查），接受有关奖惩细则、办法和考核。</w:t>
      </w:r>
    </w:p>
    <w:p>
      <w:pPr>
        <w:ind w:firstLine="480" w:firstLineChars="200"/>
        <w:jc w:val="left"/>
        <w:rPr>
          <w:rFonts w:hint="eastAsia" w:ascii="仿宋_GB2312" w:hAnsi="宋体" w:eastAsia="仿宋_GB2312"/>
          <w:sz w:val="24"/>
        </w:rPr>
      </w:pPr>
      <w:r>
        <w:rPr>
          <w:rFonts w:hint="eastAsia" w:ascii="仿宋_GB2312" w:hAnsi="宋体" w:eastAsia="仿宋_GB2312"/>
          <w:sz w:val="24"/>
        </w:rPr>
        <w:t>6.乙方通过合同（或协议）进行外委项目对管辖的设备、设施进行检修、改造、新建设施等工作，必须报请甲方同意，并由乙方具体负责组织施工；乙方若对管辖的设备进行改造或新建安装应当按照国家有关特种设备管理规定向属地特种设备主管部门进行申报、报检和备案，并将相关资料移交甲方，产生的费用按照合同约定执行。</w:t>
      </w:r>
    </w:p>
    <w:p>
      <w:pPr>
        <w:ind w:firstLine="480" w:firstLineChars="200"/>
        <w:jc w:val="left"/>
        <w:rPr>
          <w:rFonts w:hint="eastAsia" w:ascii="仿宋_GB2312" w:hAnsi="宋体" w:eastAsia="仿宋_GB2312" w:cs="Arial"/>
          <w:color w:val="FF0000"/>
          <w:sz w:val="24"/>
        </w:rPr>
      </w:pPr>
      <w:r>
        <w:rPr>
          <w:rFonts w:hint="eastAsia" w:ascii="仿宋_GB2312" w:hAnsi="宋体" w:eastAsia="仿宋_GB2312"/>
          <w:sz w:val="24"/>
        </w:rPr>
        <w:t>7</w:t>
      </w:r>
      <w:r>
        <w:rPr>
          <w:rFonts w:hint="eastAsia" w:ascii="仿宋_GB2312" w:hAnsi="宋体" w:eastAsia="仿宋_GB2312"/>
          <w:color w:val="FF0000"/>
          <w:sz w:val="24"/>
        </w:rPr>
        <w:t>.</w:t>
      </w:r>
      <w:r>
        <w:rPr>
          <w:rFonts w:hint="eastAsia" w:ascii="仿宋_GB2312" w:hAnsi="宋体" w:eastAsia="仿宋_GB2312"/>
          <w:sz w:val="24"/>
        </w:rPr>
        <w:t>乙方有责任加强对劳务队伍的安全管理，劳务队伍的安全事故责任乙方按照合同（或协议）由承包商及乙方负责；乙方按有关管理规定，加强对民工、合同工和新进场人员的安全管理和教育。乙方负责所属工作人员着装整齐、符合《电力安全工作规定》着装要求，必要时应当佩戴工作标志。乙方保证不使用未成年人员和不适应现场安全施工的老、弱、病、残人员；从事国家规定需定期进行职业健康检查的专业工作人员必须职业健康检查合格。</w:t>
      </w:r>
    </w:p>
    <w:p>
      <w:pPr>
        <w:ind w:firstLine="480" w:firstLineChars="200"/>
        <w:jc w:val="left"/>
        <w:rPr>
          <w:rFonts w:hint="eastAsia" w:ascii="仿宋_GB2312" w:hAnsi="宋体" w:eastAsia="仿宋_GB2312" w:cs="Arial"/>
          <w:color w:val="FF0000"/>
          <w:sz w:val="24"/>
        </w:rPr>
      </w:pPr>
      <w:r>
        <w:rPr>
          <w:rFonts w:hint="eastAsia" w:ascii="仿宋_GB2312" w:hAnsi="宋体" w:eastAsia="仿宋_GB2312"/>
          <w:sz w:val="24"/>
        </w:rPr>
        <w:t>8.乙方应根据工作中的风险为作业人员提供合格的、满足需要的个人防护用品，并督促作业人员正确使用。在所有施工场地，现场所有人员都至少应穿戴安全帽、防砸防穿刺安全鞋、工作服。</w:t>
      </w:r>
    </w:p>
    <w:p>
      <w:pPr>
        <w:tabs>
          <w:tab w:val="left" w:pos="8820"/>
          <w:tab w:val="left" w:pos="9180"/>
        </w:tabs>
        <w:autoSpaceDE w:val="0"/>
        <w:autoSpaceDN w:val="0"/>
        <w:adjustRightInd w:val="0"/>
        <w:ind w:firstLine="480" w:firstLineChars="200"/>
        <w:rPr>
          <w:rFonts w:hint="eastAsia" w:ascii="仿宋_GB2312" w:hAnsi="宋体" w:eastAsia="仿宋_GB2312" w:cs="Arial"/>
          <w:kern w:val="0"/>
          <w:sz w:val="24"/>
          <w:lang w:val="zh-CN"/>
        </w:rPr>
      </w:pPr>
      <w:r>
        <w:rPr>
          <w:rFonts w:hint="eastAsia" w:ascii="仿宋_GB2312" w:hAnsi="宋体" w:eastAsia="仿宋_GB2312"/>
          <w:sz w:val="24"/>
        </w:rPr>
        <w:t>9.</w:t>
      </w:r>
      <w:r>
        <w:rPr>
          <w:rFonts w:hint="eastAsia" w:ascii="仿宋_GB2312" w:hAnsi="宋体" w:eastAsia="仿宋_GB2312" w:cs="Arial"/>
          <w:kern w:val="0"/>
          <w:sz w:val="24"/>
          <w:lang w:val="zh-CN"/>
        </w:rPr>
        <w:t>乙方应采取一切合理措施，保护作业现场人员免受高温、粉尘、噪音造成的危害。</w:t>
      </w:r>
    </w:p>
    <w:p>
      <w:pPr>
        <w:tabs>
          <w:tab w:val="left" w:pos="8820"/>
          <w:tab w:val="left" w:pos="9180"/>
        </w:tabs>
        <w:autoSpaceDE w:val="0"/>
        <w:autoSpaceDN w:val="0"/>
        <w:adjustRightInd w:val="0"/>
        <w:ind w:firstLine="480" w:firstLineChars="200"/>
        <w:rPr>
          <w:rFonts w:hint="eastAsia" w:ascii="仿宋_GB2312" w:hAnsi="宋体" w:eastAsia="仿宋_GB2312" w:cs="Arial"/>
          <w:sz w:val="24"/>
        </w:rPr>
      </w:pPr>
      <w:r>
        <w:rPr>
          <w:rFonts w:hint="eastAsia" w:ascii="仿宋_GB2312" w:hAnsi="宋体" w:eastAsia="仿宋_GB2312" w:cs="Arial"/>
          <w:kern w:val="0"/>
          <w:sz w:val="24"/>
        </w:rPr>
        <w:t>10</w:t>
      </w:r>
      <w:r>
        <w:rPr>
          <w:rFonts w:hint="eastAsia" w:ascii="仿宋_GB2312" w:hAnsi="宋体" w:eastAsia="仿宋_GB2312" w:cs="Arial"/>
          <w:kern w:val="0"/>
          <w:sz w:val="24"/>
          <w:lang w:val="zh-CN"/>
        </w:rPr>
        <w:t>.乙方现场负责人及安全管理人员、特种作业人员、</w:t>
      </w:r>
      <w:r>
        <w:rPr>
          <w:rFonts w:hint="eastAsia" w:ascii="仿宋_GB2312" w:hAnsi="宋体" w:eastAsia="仿宋_GB2312" w:cs="Arial"/>
          <w:kern w:val="0"/>
          <w:sz w:val="24"/>
        </w:rPr>
        <w:t>特种设备操作人员</w:t>
      </w:r>
      <w:r>
        <w:rPr>
          <w:rFonts w:hint="eastAsia" w:ascii="仿宋_GB2312" w:hAnsi="宋体" w:eastAsia="仿宋_GB2312" w:cs="Arial"/>
          <w:kern w:val="0"/>
          <w:sz w:val="24"/>
          <w:lang w:val="zh-CN"/>
        </w:rPr>
        <w:t>必须持有效资质上岗。乙方作业人员</w:t>
      </w:r>
      <w:r>
        <w:rPr>
          <w:rFonts w:hint="eastAsia" w:ascii="仿宋_GB2312" w:hAnsi="宋体" w:eastAsia="仿宋_GB2312" w:cs="Arial"/>
          <w:sz w:val="24"/>
        </w:rPr>
        <w:t>进行特种（设备）作业人员（如焊接作业、起重作业、机动车驾驶、搭架作业、电气作业、化学危险品作业、消防设备维修、机械加工、无损检验、爆破作业等）必须经政府有关部门培训，并取得主管部门颁发的资格证书才能上岗，否则不得安排工作。</w:t>
      </w:r>
    </w:p>
    <w:p>
      <w:pPr>
        <w:snapToGrid w:val="0"/>
        <w:ind w:firstLine="480" w:firstLineChars="200"/>
        <w:rPr>
          <w:rFonts w:hint="eastAsia" w:ascii="仿宋_GB2312" w:hAnsi="宋体" w:eastAsia="仿宋_GB2312" w:cs="Arial"/>
          <w:sz w:val="24"/>
        </w:rPr>
      </w:pPr>
      <w:r>
        <w:rPr>
          <w:rFonts w:hint="eastAsia" w:ascii="仿宋_GB2312" w:hAnsi="宋体" w:eastAsia="仿宋_GB2312" w:cs="Arial"/>
          <w:sz w:val="24"/>
        </w:rPr>
        <w:t>11.当发生不安全事件（包括不安全趋势或隐患），危及或可能危及双方或第三方人员安全、危及运行设备安全时，乙方必须立即停止所有工作并采取合理的措施防止危害扩大，及时将实际情况汇报甲方生产管理部门和安全监察部门。</w:t>
      </w:r>
    </w:p>
    <w:p>
      <w:pPr>
        <w:pStyle w:val="17"/>
        <w:numPr>
          <w:ilvl w:val="0"/>
          <w:numId w:val="0"/>
        </w:numPr>
        <w:tabs>
          <w:tab w:val="clear" w:pos="1680"/>
        </w:tabs>
        <w:adjustRightInd w:val="0"/>
        <w:ind w:firstLine="480" w:firstLineChars="200"/>
        <w:rPr>
          <w:rFonts w:hint="eastAsia" w:ascii="仿宋_GB2312" w:hAnsi="宋体" w:eastAsia="仿宋_GB2312" w:cs="Arial"/>
          <w:kern w:val="2"/>
          <w:sz w:val="24"/>
          <w:szCs w:val="24"/>
        </w:rPr>
      </w:pPr>
      <w:r>
        <w:rPr>
          <w:rFonts w:hint="eastAsia" w:ascii="仿宋_GB2312" w:hAnsi="宋体" w:eastAsia="仿宋_GB2312" w:cs="Arial"/>
          <w:kern w:val="2"/>
          <w:sz w:val="24"/>
          <w:szCs w:val="24"/>
        </w:rPr>
        <w:t>12.工作中双方或第三方人员的人身安全受到威胁时，乙方有责任立即处理，并报告现场甲方安全监察部门和生产管理部门；</w:t>
      </w:r>
      <w:r>
        <w:rPr>
          <w:rFonts w:hint="eastAsia" w:ascii="仿宋_GB2312" w:hAnsi="宋体" w:eastAsia="仿宋_GB2312" w:cs="Arial"/>
          <w:kern w:val="2"/>
          <w:sz w:val="24"/>
          <w:szCs w:val="24"/>
          <w:lang w:val="zh-CN"/>
        </w:rPr>
        <w:t>两个及以上在甲方同一区域内作业的乙方，可能影响对方生产安全时，应当签订</w:t>
      </w:r>
      <w:r>
        <w:rPr>
          <w:rFonts w:hint="eastAsia" w:ascii="仿宋_GB2312" w:hAnsi="宋体" w:eastAsia="仿宋_GB2312" w:cs="Arial"/>
          <w:kern w:val="2"/>
          <w:sz w:val="24"/>
          <w:szCs w:val="24"/>
        </w:rPr>
        <w:t>《交叉作业安全协议》</w:t>
      </w:r>
      <w:r>
        <w:rPr>
          <w:rFonts w:hint="eastAsia" w:ascii="仿宋_GB2312" w:hAnsi="宋体" w:eastAsia="仿宋_GB2312" w:cs="Arial"/>
          <w:kern w:val="2"/>
          <w:sz w:val="24"/>
          <w:szCs w:val="24"/>
          <w:lang w:val="zh-CN"/>
        </w:rPr>
        <w:t>，明确各自的安全生产管理职责、</w:t>
      </w:r>
      <w:r>
        <w:rPr>
          <w:rFonts w:hint="eastAsia" w:ascii="仿宋_GB2312" w:hAnsi="宋体" w:eastAsia="仿宋_GB2312" w:cs="Arial"/>
          <w:kern w:val="2"/>
          <w:sz w:val="24"/>
          <w:szCs w:val="24"/>
        </w:rPr>
        <w:t>管理人员、联络方式</w:t>
      </w:r>
      <w:r>
        <w:rPr>
          <w:rFonts w:hint="eastAsia" w:ascii="仿宋_GB2312" w:hAnsi="宋体" w:eastAsia="仿宋_GB2312" w:cs="Arial"/>
          <w:kern w:val="2"/>
          <w:sz w:val="24"/>
          <w:szCs w:val="24"/>
          <w:lang w:val="zh-CN"/>
        </w:rPr>
        <w:t>和应当采取的安全措施，并报甲方备案。</w:t>
      </w:r>
    </w:p>
    <w:p>
      <w:pPr>
        <w:tabs>
          <w:tab w:val="left" w:pos="8820"/>
          <w:tab w:val="left" w:pos="9180"/>
        </w:tabs>
        <w:autoSpaceDE w:val="0"/>
        <w:autoSpaceDN w:val="0"/>
        <w:adjustRightInd w:val="0"/>
        <w:ind w:firstLine="480" w:firstLineChars="200"/>
        <w:rPr>
          <w:rFonts w:hint="eastAsia" w:ascii="仿宋_GB2312" w:hAnsi="宋体" w:eastAsia="仿宋_GB2312" w:cs="Arial"/>
          <w:sz w:val="24"/>
        </w:rPr>
      </w:pPr>
      <w:r>
        <w:rPr>
          <w:rFonts w:hint="eastAsia" w:ascii="仿宋_GB2312" w:hAnsi="宋体" w:eastAsia="仿宋_GB2312" w:cs="Arial"/>
          <w:sz w:val="24"/>
        </w:rPr>
        <w:t>13.乙方施工前应完善封闭施工措施，在醒目位置设置各类完善的安全警示标识、宣传标语、危险点分析、职业病危害告知卡等。</w:t>
      </w:r>
    </w:p>
    <w:p>
      <w:pPr>
        <w:tabs>
          <w:tab w:val="left" w:pos="8820"/>
          <w:tab w:val="left" w:pos="9180"/>
        </w:tabs>
        <w:autoSpaceDE w:val="0"/>
        <w:autoSpaceDN w:val="0"/>
        <w:adjustRightInd w:val="0"/>
        <w:ind w:firstLine="480" w:firstLineChars="200"/>
        <w:rPr>
          <w:rFonts w:hint="eastAsia" w:ascii="仿宋_GB2312" w:hAnsi="宋体" w:eastAsia="仿宋_GB2312" w:cs="Arial"/>
          <w:sz w:val="24"/>
        </w:rPr>
      </w:pPr>
      <w:r>
        <w:rPr>
          <w:rFonts w:hint="eastAsia" w:ascii="仿宋_GB2312" w:hAnsi="宋体" w:eastAsia="仿宋_GB2312" w:cs="Arial"/>
          <w:sz w:val="24"/>
        </w:rPr>
        <w:t>14.乙方必须严格遵守甲方“两票三制”工作规定，委派具有相应专业知识和符合《电力安全工作规定》的人员参加甲方组织的工作负责人考试，成绩合格者（考试成绩85分以上）方能担任工作票负责人。</w:t>
      </w:r>
    </w:p>
    <w:p>
      <w:pPr>
        <w:tabs>
          <w:tab w:val="left" w:pos="8820"/>
          <w:tab w:val="left" w:pos="9180"/>
        </w:tabs>
        <w:autoSpaceDE w:val="0"/>
        <w:autoSpaceDN w:val="0"/>
        <w:adjustRightInd w:val="0"/>
        <w:ind w:firstLine="480" w:firstLineChars="200"/>
        <w:rPr>
          <w:rFonts w:hint="eastAsia" w:ascii="仿宋_GB2312" w:hAnsi="宋体" w:eastAsia="仿宋_GB2312" w:cs="Arial"/>
          <w:color w:val="FF0000"/>
          <w:sz w:val="24"/>
        </w:rPr>
      </w:pPr>
      <w:r>
        <w:rPr>
          <w:rFonts w:hint="eastAsia" w:ascii="仿宋_GB2312" w:hAnsi="宋体" w:eastAsia="仿宋_GB2312" w:cs="Arial"/>
          <w:sz w:val="24"/>
        </w:rPr>
        <w:t>15.乙方应根据合同实施特点，做好交通运输安全管理工作。包括但不限于：对司机进行教育培训；督促司机遵守《道路交通安全法》等法律法规和甲方《厂区道路交通安全管理标准》《防止货运车辆超限超载超速管理制度》《入厂车辆安全管理制度》等相关交通管理制度；禁止车辆乱停乱放和超速、超载、超限行驶；禁止在车辆行驶途中使用手机或从事其他与驾驶无关的工作；禁止非法改装、拼装车辆进入甲方厂区等一切危害道路交通安全的行为。</w:t>
      </w:r>
    </w:p>
    <w:p>
      <w:pPr>
        <w:tabs>
          <w:tab w:val="left" w:pos="8820"/>
          <w:tab w:val="left" w:pos="9180"/>
        </w:tabs>
        <w:autoSpaceDE w:val="0"/>
        <w:autoSpaceDN w:val="0"/>
        <w:adjustRightInd w:val="0"/>
        <w:ind w:firstLine="480" w:firstLineChars="200"/>
        <w:rPr>
          <w:rFonts w:ascii="仿宋_GB2312" w:hAnsi="宋体" w:eastAsia="仿宋_GB2312" w:cs="Arial"/>
          <w:sz w:val="24"/>
        </w:rPr>
      </w:pPr>
      <w:r>
        <w:rPr>
          <w:rFonts w:hint="eastAsia" w:ascii="仿宋_GB2312" w:hAnsi="宋体" w:eastAsia="仿宋_GB2312" w:cs="Arial"/>
          <w:sz w:val="24"/>
        </w:rPr>
        <w:t>16.乙方在正式履行合同前，应主动到甲方安全管理部门接受安全培训，提交符合本协议要求的相关安全管理证明文件。</w:t>
      </w:r>
    </w:p>
    <w:p>
      <w:pPr>
        <w:ind w:firstLine="472" w:firstLineChars="196"/>
        <w:jc w:val="left"/>
        <w:rPr>
          <w:rFonts w:hint="eastAsia" w:ascii="楷体_GB2312" w:hAnsi="宋体" w:eastAsia="楷体_GB2312"/>
          <w:b/>
          <w:sz w:val="24"/>
        </w:rPr>
      </w:pPr>
      <w:r>
        <w:rPr>
          <w:rFonts w:hint="eastAsia" w:ascii="楷体_GB2312" w:hAnsi="宋体" w:eastAsia="楷体_GB2312"/>
          <w:b/>
          <w:sz w:val="24"/>
        </w:rPr>
        <w:t>四、事故处理</w:t>
      </w:r>
    </w:p>
    <w:p>
      <w:pPr>
        <w:ind w:firstLine="480" w:firstLineChars="200"/>
        <w:jc w:val="left"/>
        <w:rPr>
          <w:rFonts w:hint="eastAsia" w:ascii="仿宋_GB2312" w:hAnsi="宋体" w:eastAsia="仿宋_GB2312"/>
          <w:sz w:val="24"/>
        </w:rPr>
      </w:pPr>
      <w:r>
        <w:rPr>
          <w:rFonts w:hint="eastAsia" w:ascii="仿宋_GB2312" w:hAnsi="宋体" w:eastAsia="仿宋_GB2312"/>
          <w:bCs/>
          <w:sz w:val="24"/>
        </w:rPr>
        <w:t>（一）</w:t>
      </w:r>
      <w:r>
        <w:rPr>
          <w:rFonts w:hint="eastAsia" w:ascii="仿宋_GB2312" w:hAnsi="宋体" w:eastAsia="仿宋_GB2312"/>
          <w:sz w:val="24"/>
        </w:rPr>
        <w:t>发生重大伤亡及其他安全事故，乙方应按规定立即将事故情况上报有关部门、现场组织机构及有关安全负责人，同时按政府或上级有关部门要求处理，由事故责任方承担发生的费用。</w:t>
      </w:r>
    </w:p>
    <w:p>
      <w:pPr>
        <w:ind w:firstLine="480" w:firstLineChars="200"/>
        <w:jc w:val="left"/>
        <w:rPr>
          <w:rFonts w:hint="eastAsia" w:ascii="宋体" w:hAnsi="宋体"/>
          <w:sz w:val="24"/>
        </w:rPr>
      </w:pPr>
      <w:r>
        <w:rPr>
          <w:rFonts w:hint="eastAsia" w:ascii="仿宋_GB2312" w:hAnsi="宋体" w:eastAsia="仿宋_GB2312"/>
          <w:sz w:val="24"/>
        </w:rPr>
        <w:t>（二）甲乙双方对事故责任有争议时，应按政府或上级有关部门的认定处理。</w:t>
      </w:r>
    </w:p>
    <w:p>
      <w:pPr>
        <w:ind w:firstLine="472" w:firstLineChars="196"/>
        <w:jc w:val="left"/>
        <w:rPr>
          <w:rFonts w:hint="eastAsia" w:ascii="楷体_GB2312" w:hAnsi="宋体" w:eastAsia="楷体_GB2312"/>
          <w:b/>
          <w:sz w:val="24"/>
        </w:rPr>
      </w:pPr>
      <w:r>
        <w:rPr>
          <w:rFonts w:hint="eastAsia" w:ascii="楷体_GB2312" w:hAnsi="宋体" w:eastAsia="楷体_GB2312"/>
          <w:b/>
          <w:sz w:val="24"/>
        </w:rPr>
        <w:t>五、安全考核制度</w:t>
      </w:r>
    </w:p>
    <w:p>
      <w:pPr>
        <w:ind w:firstLine="470" w:firstLineChars="196"/>
        <w:jc w:val="left"/>
        <w:rPr>
          <w:rFonts w:hint="eastAsia" w:ascii="仿宋_GB2312" w:hAnsi="宋体" w:eastAsia="仿宋_GB2312"/>
          <w:sz w:val="24"/>
        </w:rPr>
      </w:pPr>
      <w:r>
        <w:rPr>
          <w:rFonts w:hint="eastAsia" w:ascii="仿宋_GB2312" w:hAnsi="宋体" w:eastAsia="仿宋_GB2312"/>
          <w:sz w:val="24"/>
        </w:rPr>
        <w:t>甲方对乙方实行安全与经济挂钩的管理办法，及时对不安全情况进行考核。考核款由乙方到甲方财务部门缴纳现金，对拒不缴纳或未按时缴纳者甲方有权从合同款、质保金中进行扣除。</w:t>
      </w:r>
    </w:p>
    <w:p>
      <w:pPr>
        <w:ind w:firstLine="480" w:firstLineChars="200"/>
        <w:jc w:val="left"/>
        <w:rPr>
          <w:rFonts w:hint="eastAsia" w:ascii="仿宋_GB2312" w:hAnsi="宋体" w:eastAsia="仿宋_GB2312"/>
          <w:sz w:val="24"/>
        </w:rPr>
      </w:pPr>
      <w:r>
        <w:rPr>
          <w:rFonts w:hint="eastAsia" w:ascii="仿宋_GB2312" w:hAnsi="宋体" w:eastAsia="仿宋_GB2312"/>
          <w:sz w:val="24"/>
        </w:rPr>
        <w:t>（一）若乙方未发生轻伤及以上事故，甲方将按公司规定按时按质按量拨付工程进度款。</w:t>
      </w:r>
    </w:p>
    <w:p>
      <w:pPr>
        <w:ind w:firstLine="480" w:firstLineChars="200"/>
        <w:jc w:val="left"/>
        <w:rPr>
          <w:rFonts w:hint="eastAsia" w:ascii="仿宋_GB2312" w:hAnsi="宋体" w:eastAsia="仿宋_GB2312"/>
          <w:bCs/>
          <w:sz w:val="24"/>
          <w:highlight w:val="yellow"/>
        </w:rPr>
      </w:pPr>
      <w:r>
        <w:rPr>
          <w:rFonts w:hint="eastAsia" w:ascii="仿宋_GB2312" w:hAnsi="宋体" w:eastAsia="仿宋_GB2312"/>
          <w:bCs/>
          <w:sz w:val="24"/>
        </w:rPr>
        <w:t>（二）若乙方发生人身重伤以上事故，甲方有权每次从工程款中扣减20万元，合同金额不足20万元的，扣减金额以合同金额为准。</w:t>
      </w:r>
    </w:p>
    <w:p>
      <w:pPr>
        <w:ind w:firstLine="480" w:firstLineChars="200"/>
        <w:jc w:val="left"/>
        <w:rPr>
          <w:rFonts w:hint="eastAsia" w:ascii="仿宋_GB2312" w:hAnsi="宋体" w:eastAsia="仿宋_GB2312"/>
          <w:bCs/>
          <w:sz w:val="24"/>
        </w:rPr>
      </w:pPr>
      <w:r>
        <w:rPr>
          <w:rFonts w:hint="eastAsia" w:ascii="仿宋_GB2312" w:hAnsi="宋体" w:eastAsia="仿宋_GB2312"/>
          <w:bCs/>
          <w:sz w:val="24"/>
        </w:rPr>
        <w:t>（三）若乙方发生人身重伤事故，甲方有权从工程款扣减5万元/1人·次。</w:t>
      </w:r>
    </w:p>
    <w:p>
      <w:pPr>
        <w:ind w:firstLine="480" w:firstLineChars="200"/>
        <w:jc w:val="left"/>
        <w:rPr>
          <w:rFonts w:hint="eastAsia" w:ascii="仿宋_GB2312" w:hAnsi="宋体" w:eastAsia="仿宋_GB2312"/>
          <w:bCs/>
          <w:sz w:val="24"/>
        </w:rPr>
      </w:pPr>
      <w:r>
        <w:rPr>
          <w:rFonts w:hint="eastAsia" w:ascii="仿宋_GB2312" w:hAnsi="宋体" w:eastAsia="仿宋_GB2312"/>
          <w:bCs/>
          <w:sz w:val="24"/>
        </w:rPr>
        <w:t>（四）若乙方发生人身轻伤事故，甲方有权从工程款扣减1万元/1人·次。</w:t>
      </w:r>
    </w:p>
    <w:p>
      <w:pPr>
        <w:ind w:firstLine="470" w:firstLineChars="196"/>
        <w:jc w:val="left"/>
        <w:rPr>
          <w:rFonts w:hint="eastAsia" w:ascii="仿宋_GB2312" w:hAnsi="宋体" w:eastAsia="仿宋_GB2312"/>
          <w:sz w:val="24"/>
        </w:rPr>
      </w:pPr>
      <w:r>
        <w:rPr>
          <w:rFonts w:hint="eastAsia" w:ascii="仿宋_GB2312" w:hAnsi="宋体" w:eastAsia="仿宋_GB2312"/>
          <w:bCs/>
          <w:sz w:val="24"/>
        </w:rPr>
        <w:t>（五）若乙方原因造成乙方人员发生职业病伤害，由</w:t>
      </w:r>
      <w:r>
        <w:rPr>
          <w:rFonts w:hint="eastAsia" w:ascii="仿宋_GB2312" w:hAnsi="宋体" w:eastAsia="仿宋_GB2312"/>
          <w:sz w:val="24"/>
        </w:rPr>
        <w:t>乙方承担责任且妥善处理相关事宜。</w:t>
      </w:r>
    </w:p>
    <w:p>
      <w:pPr>
        <w:ind w:firstLine="480" w:firstLineChars="200"/>
        <w:jc w:val="left"/>
        <w:rPr>
          <w:rFonts w:hint="eastAsia" w:ascii="仿宋_GB2312" w:hAnsi="宋体" w:eastAsia="仿宋_GB2312"/>
          <w:bCs/>
          <w:sz w:val="24"/>
        </w:rPr>
      </w:pPr>
      <w:r>
        <w:rPr>
          <w:rFonts w:hint="eastAsia" w:ascii="仿宋_GB2312" w:hAnsi="宋体" w:eastAsia="仿宋_GB2312"/>
          <w:bCs/>
          <w:sz w:val="24"/>
        </w:rPr>
        <w:t>（六）若乙方原因造成重大及以上设备损坏事故，照原价赔偿或完全修复（修复费用乙方负责）并每次从工程款扣减20万元，合同金额不足20万元的，扣减金额以合同金额为准。</w:t>
      </w:r>
    </w:p>
    <w:p>
      <w:pPr>
        <w:ind w:firstLine="480" w:firstLineChars="200"/>
        <w:jc w:val="left"/>
        <w:rPr>
          <w:rFonts w:hint="eastAsia" w:ascii="仿宋_GB2312" w:hAnsi="宋体" w:eastAsia="仿宋_GB2312"/>
          <w:bCs/>
          <w:sz w:val="24"/>
        </w:rPr>
      </w:pPr>
      <w:r>
        <w:rPr>
          <w:rFonts w:hint="eastAsia" w:ascii="仿宋_GB2312" w:hAnsi="宋体" w:eastAsia="仿宋_GB2312"/>
          <w:bCs/>
          <w:sz w:val="24"/>
        </w:rPr>
        <w:t>（七）若乙方原因造成一般设备损坏事故，照价赔偿或完全修复（费用乙方负责）并每次从工程款扣减3000-5000元。</w:t>
      </w:r>
    </w:p>
    <w:p>
      <w:pPr>
        <w:ind w:firstLine="480" w:firstLineChars="200"/>
        <w:jc w:val="left"/>
        <w:rPr>
          <w:rFonts w:hint="eastAsia" w:ascii="仿宋_GB2312" w:hAnsi="宋体" w:eastAsia="仿宋_GB2312"/>
          <w:bCs/>
          <w:sz w:val="24"/>
        </w:rPr>
      </w:pPr>
      <w:r>
        <w:rPr>
          <w:rFonts w:hint="eastAsia" w:ascii="仿宋_GB2312" w:hAnsi="宋体" w:eastAsia="仿宋_GB2312"/>
          <w:bCs/>
          <w:sz w:val="24"/>
        </w:rPr>
        <w:t>（八）若乙方原因造成重大及以上火灾事故，甲方有权从工程款扣减20万元/次，合同金额不足20万元的，扣减金额以合同金额为准。</w:t>
      </w:r>
    </w:p>
    <w:p>
      <w:pPr>
        <w:ind w:firstLine="480" w:firstLineChars="200"/>
        <w:jc w:val="left"/>
        <w:rPr>
          <w:rFonts w:hint="eastAsia" w:ascii="仿宋_GB2312" w:hAnsi="宋体" w:eastAsia="仿宋_GB2312"/>
          <w:bCs/>
          <w:sz w:val="24"/>
        </w:rPr>
      </w:pPr>
      <w:r>
        <w:rPr>
          <w:rFonts w:hint="eastAsia" w:ascii="仿宋_GB2312" w:hAnsi="宋体" w:eastAsia="仿宋_GB2312"/>
          <w:bCs/>
          <w:sz w:val="24"/>
        </w:rPr>
        <w:t>（九）若乙方原因造成一般火灾事故，甲方有权从工程款扣减500－2000元/次。</w:t>
      </w:r>
    </w:p>
    <w:p>
      <w:pPr>
        <w:ind w:firstLine="480" w:firstLineChars="200"/>
        <w:jc w:val="left"/>
        <w:rPr>
          <w:rFonts w:hint="eastAsia" w:ascii="仿宋_GB2312" w:hAnsi="宋体" w:eastAsia="仿宋_GB2312"/>
          <w:bCs/>
          <w:sz w:val="24"/>
        </w:rPr>
      </w:pPr>
      <w:r>
        <w:rPr>
          <w:rFonts w:hint="eastAsia" w:ascii="仿宋_GB2312" w:hAnsi="宋体" w:eastAsia="仿宋_GB2312"/>
          <w:bCs/>
          <w:sz w:val="24"/>
        </w:rPr>
        <w:t>（十）若乙方原因造成所辖设备事故、障碍、异常，将按照甲方有关管理制度进行考核。（如考核项目与上述有重复，不进行重复考核）</w:t>
      </w:r>
    </w:p>
    <w:p>
      <w:pPr>
        <w:ind w:firstLine="470" w:firstLineChars="196"/>
        <w:jc w:val="left"/>
        <w:rPr>
          <w:rFonts w:hint="eastAsia" w:ascii="仿宋_GB2312" w:hAnsi="宋体" w:eastAsia="仿宋_GB2312"/>
          <w:bCs/>
          <w:sz w:val="24"/>
        </w:rPr>
      </w:pPr>
      <w:r>
        <w:rPr>
          <w:rFonts w:hint="eastAsia" w:ascii="仿宋_GB2312" w:hAnsi="宋体" w:eastAsia="仿宋_GB2312"/>
          <w:sz w:val="24"/>
        </w:rPr>
        <w:t>（十一）若乙方发生人身伤亡、设备事故（损坏）未遂瞒情不报，</w:t>
      </w:r>
      <w:r>
        <w:rPr>
          <w:rFonts w:hint="eastAsia" w:ascii="仿宋_GB2312" w:hAnsi="宋体" w:eastAsia="仿宋_GB2312"/>
          <w:bCs/>
          <w:sz w:val="24"/>
        </w:rPr>
        <w:t>甲方有权从工程款扣减50</w:t>
      </w:r>
      <w:r>
        <w:rPr>
          <w:rFonts w:ascii="仿宋_GB2312" w:hAnsi="宋体" w:eastAsia="仿宋_GB2312"/>
          <w:bCs/>
          <w:sz w:val="24"/>
        </w:rPr>
        <w:t>00</w:t>
      </w:r>
      <w:r>
        <w:rPr>
          <w:rFonts w:hint="eastAsia" w:ascii="仿宋_GB2312" w:hAnsi="宋体" w:eastAsia="仿宋_GB2312"/>
          <w:bCs/>
          <w:sz w:val="24"/>
        </w:rPr>
        <w:t>元/次。</w:t>
      </w:r>
    </w:p>
    <w:p>
      <w:pPr>
        <w:ind w:firstLine="470" w:firstLineChars="196"/>
        <w:jc w:val="left"/>
        <w:rPr>
          <w:rFonts w:hint="eastAsia" w:ascii="仿宋_GB2312" w:hAnsi="宋体" w:eastAsia="仿宋_GB2312"/>
          <w:bCs/>
          <w:sz w:val="24"/>
        </w:rPr>
      </w:pPr>
      <w:r>
        <w:rPr>
          <w:rFonts w:hint="eastAsia" w:ascii="仿宋_GB2312" w:hAnsi="宋体" w:eastAsia="仿宋_GB2312"/>
          <w:bCs/>
          <w:sz w:val="24"/>
        </w:rPr>
        <w:t>（十二）</w:t>
      </w:r>
      <w:r>
        <w:rPr>
          <w:rFonts w:hint="eastAsia" w:ascii="仿宋_GB2312" w:hAnsi="宋体" w:eastAsia="仿宋_GB2312"/>
          <w:sz w:val="24"/>
        </w:rPr>
        <w:t>若乙方在生产现场（厂区内）发生负主要责任的交通安全事故，</w:t>
      </w:r>
      <w:r>
        <w:rPr>
          <w:rFonts w:hint="eastAsia" w:ascii="仿宋_GB2312" w:hAnsi="宋体" w:eastAsia="仿宋_GB2312"/>
          <w:bCs/>
          <w:sz w:val="24"/>
        </w:rPr>
        <w:t>甲方有权</w:t>
      </w:r>
      <w:r>
        <w:rPr>
          <w:rFonts w:hint="eastAsia" w:ascii="仿宋_GB2312" w:hAnsi="宋体" w:eastAsia="仿宋_GB2312"/>
          <w:sz w:val="24"/>
        </w:rPr>
        <w:t>从工程款扣减5000元/次。</w:t>
      </w:r>
    </w:p>
    <w:p>
      <w:pPr>
        <w:ind w:firstLine="470" w:firstLineChars="196"/>
        <w:jc w:val="left"/>
        <w:rPr>
          <w:rFonts w:hint="eastAsia" w:ascii="仿宋_GB2312" w:hAnsi="宋体" w:eastAsia="仿宋_GB2312"/>
          <w:sz w:val="24"/>
        </w:rPr>
      </w:pPr>
      <w:r>
        <w:rPr>
          <w:rFonts w:hint="eastAsia" w:ascii="仿宋_GB2312" w:hAnsi="宋体" w:eastAsia="仿宋_GB2312"/>
          <w:sz w:val="24"/>
        </w:rPr>
        <w:t>（十三）若乙方</w:t>
      </w:r>
      <w:r>
        <w:rPr>
          <w:rFonts w:hint="eastAsia" w:ascii="仿宋_GB2312" w:hAnsi="宋体" w:eastAsia="仿宋_GB2312"/>
          <w:bCs/>
          <w:sz w:val="24"/>
        </w:rPr>
        <w:t>原因造成</w:t>
      </w:r>
      <w:r>
        <w:rPr>
          <w:rFonts w:hint="eastAsia" w:ascii="仿宋_GB2312" w:hAnsi="宋体" w:eastAsia="仿宋_GB2312"/>
          <w:sz w:val="24"/>
        </w:rPr>
        <w:t>环境污染事故，甲方将按照公司有关环保管理标准进行考核。若甲方因此对外承担环境污染责任或名誉受损的，甲方有权向乙方追偿。</w:t>
      </w:r>
    </w:p>
    <w:p>
      <w:pPr>
        <w:ind w:firstLine="470" w:firstLineChars="196"/>
        <w:jc w:val="left"/>
        <w:rPr>
          <w:rFonts w:hint="eastAsia" w:ascii="仿宋_GB2312" w:hAnsi="宋体" w:eastAsia="仿宋_GB2312"/>
          <w:sz w:val="24"/>
        </w:rPr>
      </w:pPr>
      <w:r>
        <w:rPr>
          <w:rFonts w:hint="eastAsia" w:ascii="仿宋_GB2312" w:hAnsi="宋体" w:eastAsia="仿宋_GB2312"/>
          <w:sz w:val="24"/>
        </w:rPr>
        <w:t>（十四）若乙方</w:t>
      </w:r>
      <w:r>
        <w:rPr>
          <w:rFonts w:hint="eastAsia" w:ascii="仿宋_GB2312" w:hAnsi="宋体" w:eastAsia="仿宋_GB2312"/>
          <w:bCs/>
          <w:sz w:val="24"/>
        </w:rPr>
        <w:t>原因造成</w:t>
      </w:r>
      <w:r>
        <w:rPr>
          <w:rFonts w:hint="eastAsia" w:ascii="仿宋_GB2312" w:hAnsi="宋体" w:eastAsia="仿宋_GB2312"/>
          <w:sz w:val="24"/>
        </w:rPr>
        <w:t>有严重社会影响的电力安全生产事件，乙方承担责任且妥善处理相关事宜并接受本公司有关考核。特别是“新冠肺炎疫情”期间若发生疑似或确诊病例，将参照国家、地方相关处理指导意见进行问责。</w:t>
      </w:r>
    </w:p>
    <w:p>
      <w:pPr>
        <w:ind w:firstLine="470" w:firstLineChars="196"/>
        <w:jc w:val="left"/>
        <w:rPr>
          <w:rFonts w:hint="eastAsia" w:ascii="仿宋_GB2312" w:hAnsi="宋体" w:eastAsia="仿宋_GB2312"/>
          <w:sz w:val="24"/>
        </w:rPr>
      </w:pPr>
      <w:r>
        <w:rPr>
          <w:rFonts w:hint="eastAsia" w:ascii="仿宋_GB2312" w:hAnsi="宋体" w:eastAsia="仿宋_GB2312"/>
          <w:sz w:val="24"/>
        </w:rPr>
        <w:t>（十五）若乙方在施工过程中未发生上述情况，但管理、作业人员发生管理违章、装置性违章、习惯性违章等情形时将按照甲方《安全环保奖惩管理标准》及技术协议书、检修手册等规定进行经济考核。</w:t>
      </w:r>
    </w:p>
    <w:p>
      <w:pPr>
        <w:ind w:firstLine="482" w:firstLineChars="200"/>
        <w:jc w:val="left"/>
        <w:rPr>
          <w:rFonts w:hint="eastAsia" w:ascii="楷体_GB2312" w:hAnsi="宋体" w:eastAsia="楷体_GB2312"/>
          <w:b/>
          <w:sz w:val="24"/>
        </w:rPr>
      </w:pPr>
      <w:r>
        <w:rPr>
          <w:rFonts w:hint="eastAsia" w:ascii="楷体_GB2312" w:hAnsi="宋体" w:eastAsia="楷体_GB2312"/>
          <w:b/>
          <w:sz w:val="24"/>
        </w:rPr>
        <w:t>六、本协议书与国家或上级有关法律、法规、制度、政策不吻合的，以上级为准。</w:t>
      </w:r>
    </w:p>
    <w:p>
      <w:pPr>
        <w:tabs>
          <w:tab w:val="left" w:pos="5535"/>
        </w:tabs>
        <w:jc w:val="left"/>
        <w:rPr>
          <w:rFonts w:hint="eastAsia" w:ascii="楷体_GB2312" w:hAnsi="宋体" w:eastAsia="楷体_GB2312"/>
          <w:b/>
          <w:sz w:val="24"/>
        </w:rPr>
      </w:pPr>
      <w:r>
        <w:rPr>
          <w:rFonts w:hint="eastAsia" w:ascii="楷体_GB2312" w:hAnsi="宋体" w:eastAsia="楷体_GB2312"/>
          <w:b/>
          <w:sz w:val="24"/>
        </w:rPr>
        <w:t xml:space="preserve">    七、</w:t>
      </w:r>
      <w:r>
        <w:rPr>
          <w:rFonts w:hint="eastAsia" w:ascii="楷体_GB2312" w:hAnsi="宋体" w:eastAsia="楷体_GB2312"/>
          <w:b/>
          <w:bCs/>
          <w:sz w:val="24"/>
        </w:rPr>
        <w:t>安全考核制度从签订《</w:t>
      </w:r>
      <w:r>
        <w:rPr>
          <w:rFonts w:hint="eastAsia" w:ascii="楷体_GB2312" w:hAnsi="宋体" w:eastAsia="楷体_GB2312"/>
          <w:b/>
          <w:sz w:val="24"/>
        </w:rPr>
        <w:t>xxxxxx合同</w:t>
      </w:r>
      <w:r>
        <w:rPr>
          <w:rFonts w:hint="eastAsia" w:ascii="楷体_GB2312" w:hAnsi="宋体" w:eastAsia="楷体_GB2312"/>
          <w:b/>
          <w:bCs/>
          <w:sz w:val="24"/>
        </w:rPr>
        <w:t>》承包商安全管理协议之日执行。</w:t>
      </w:r>
    </w:p>
    <w:p>
      <w:pPr>
        <w:ind w:firstLine="472" w:firstLineChars="196"/>
        <w:jc w:val="left"/>
        <w:rPr>
          <w:rFonts w:hint="eastAsia" w:ascii="楷体_GB2312" w:hAnsi="宋体" w:eastAsia="楷体_GB2312"/>
          <w:b/>
          <w:sz w:val="24"/>
        </w:rPr>
      </w:pPr>
      <w:r>
        <w:rPr>
          <w:rFonts w:hint="eastAsia" w:ascii="楷体_GB2312" w:hAnsi="宋体" w:eastAsia="楷体_GB2312"/>
          <w:b/>
          <w:sz w:val="24"/>
        </w:rPr>
        <w:t>八、本协议未尽事宜，双方按有关规定（制度）协商解决。</w:t>
      </w:r>
    </w:p>
    <w:p>
      <w:pPr>
        <w:tabs>
          <w:tab w:val="left" w:pos="5535"/>
        </w:tabs>
        <w:ind w:firstLine="472" w:firstLineChars="196"/>
        <w:jc w:val="left"/>
        <w:rPr>
          <w:rFonts w:hint="eastAsia" w:ascii="楷体_GB2312" w:hAnsi="宋体" w:eastAsia="楷体_GB2312"/>
          <w:b/>
          <w:sz w:val="24"/>
        </w:rPr>
      </w:pPr>
      <w:r>
        <w:rPr>
          <w:rFonts w:hint="eastAsia" w:ascii="楷体_GB2312" w:hAnsi="宋体" w:eastAsia="楷体_GB2312"/>
          <w:b/>
          <w:sz w:val="24"/>
        </w:rPr>
        <w:t>九、本协议作为</w:t>
      </w:r>
      <w:r>
        <w:rPr>
          <w:rFonts w:hint="eastAsia" w:ascii="楷体_GB2312" w:hAnsi="宋体" w:eastAsia="楷体_GB2312"/>
          <w:b/>
          <w:bCs/>
          <w:sz w:val="24"/>
        </w:rPr>
        <w:t>乙方与甲方签订《</w:t>
      </w:r>
      <w:r>
        <w:rPr>
          <w:rFonts w:hint="eastAsia" w:ascii="楷体_GB2312" w:hAnsi="宋体" w:eastAsia="楷体_GB2312"/>
          <w:b/>
          <w:sz w:val="24"/>
        </w:rPr>
        <w:t>xxxxxxx合同》中涉及安全管理条款的具体实施细则，经双方签字后生效，在合同期内一直有效，随合同终止而终止。</w:t>
      </w:r>
    </w:p>
    <w:p>
      <w:pPr>
        <w:jc w:val="left"/>
        <w:rPr>
          <w:rFonts w:hint="eastAsia"/>
          <w:b/>
          <w:sz w:val="24"/>
        </w:rPr>
      </w:pPr>
    </w:p>
    <w:p>
      <w:pPr>
        <w:ind w:left="711" w:hanging="711" w:hangingChars="295"/>
        <w:jc w:val="left"/>
        <w:rPr>
          <w:rFonts w:hint="eastAsia" w:ascii="楷体_GB2312" w:hAnsi="微软雅黑" w:eastAsia="楷体_GB2312"/>
          <w:b/>
          <w:bCs/>
          <w:sz w:val="24"/>
        </w:rPr>
      </w:pPr>
      <w:r>
        <w:rPr>
          <w:rFonts w:hint="eastAsia" w:ascii="楷体_GB2312" w:eastAsia="楷体_GB2312"/>
          <w:b/>
          <w:sz w:val="24"/>
        </w:rPr>
        <w:t>甲方：四川泸州川南发电</w:t>
      </w:r>
      <w:r>
        <w:rPr>
          <w:rFonts w:hint="eastAsia" w:ascii="楷体_GB2312" w:hAnsi="宋体" w:eastAsia="楷体_GB2312"/>
          <w:b/>
          <w:bCs/>
          <w:sz w:val="24"/>
        </w:rPr>
        <w:t>有限责任公司</w:t>
      </w:r>
      <w:r>
        <w:rPr>
          <w:rFonts w:hint="eastAsia" w:ascii="楷体_GB2312" w:eastAsia="楷体_GB2312"/>
          <w:b/>
          <w:sz w:val="24"/>
        </w:rPr>
        <w:t xml:space="preserve">   乙方：</w:t>
      </w:r>
    </w:p>
    <w:p>
      <w:pPr>
        <w:ind w:left="711" w:hanging="711" w:hangingChars="295"/>
        <w:jc w:val="left"/>
        <w:rPr>
          <w:rFonts w:hint="eastAsia" w:ascii="楷体_GB2312" w:eastAsia="楷体_GB2312"/>
          <w:b/>
          <w:sz w:val="24"/>
        </w:rPr>
      </w:pPr>
    </w:p>
    <w:p>
      <w:pPr>
        <w:ind w:left="706" w:leftChars="336"/>
        <w:jc w:val="left"/>
        <w:rPr>
          <w:rFonts w:hint="eastAsia" w:ascii="楷体_GB2312" w:eastAsia="楷体_GB2312"/>
          <w:b/>
          <w:sz w:val="24"/>
        </w:rPr>
      </w:pPr>
      <w:r>
        <w:rPr>
          <w:rFonts w:hint="eastAsia" w:ascii="楷体_GB2312" w:eastAsia="楷体_GB2312"/>
          <w:b/>
          <w:sz w:val="24"/>
        </w:rPr>
        <w:t xml:space="preserve">                            </w:t>
      </w:r>
    </w:p>
    <w:p>
      <w:pPr>
        <w:ind w:left="711" w:hanging="711" w:hangingChars="295"/>
        <w:jc w:val="left"/>
        <w:rPr>
          <w:rFonts w:hint="eastAsia" w:ascii="楷体_GB2312" w:hAnsi="宋体" w:eastAsia="楷体_GB2312"/>
          <w:b/>
          <w:bCs/>
          <w:sz w:val="24"/>
        </w:rPr>
      </w:pPr>
    </w:p>
    <w:p>
      <w:pPr>
        <w:tabs>
          <w:tab w:val="left" w:pos="5675"/>
        </w:tabs>
        <w:ind w:firstLine="711" w:firstLineChars="295"/>
        <w:jc w:val="left"/>
        <w:rPr>
          <w:rFonts w:hint="eastAsia" w:ascii="楷体_GB2312" w:eastAsia="楷体_GB2312"/>
          <w:b/>
          <w:sz w:val="24"/>
        </w:rPr>
      </w:pPr>
      <w:r>
        <w:rPr>
          <w:rFonts w:hint="eastAsia" w:ascii="楷体_GB2312" w:eastAsia="楷体_GB2312"/>
          <w:b/>
          <w:sz w:val="24"/>
        </w:rPr>
        <w:t>代表：                               代表：</w:t>
      </w:r>
    </w:p>
    <w:p>
      <w:pPr>
        <w:tabs>
          <w:tab w:val="left" w:pos="5535"/>
        </w:tabs>
        <w:jc w:val="left"/>
        <w:rPr>
          <w:rFonts w:hint="eastAsia" w:ascii="楷体_GB2312" w:eastAsia="楷体_GB2312"/>
          <w:b/>
          <w:sz w:val="24"/>
        </w:rPr>
      </w:pPr>
    </w:p>
    <w:p>
      <w:pPr>
        <w:tabs>
          <w:tab w:val="left" w:pos="5535"/>
        </w:tabs>
        <w:jc w:val="left"/>
        <w:rPr>
          <w:rFonts w:hint="eastAsia" w:ascii="楷体_GB2312" w:eastAsia="楷体_GB2312"/>
          <w:b/>
          <w:sz w:val="24"/>
        </w:rPr>
      </w:pPr>
      <w:r>
        <w:rPr>
          <w:rFonts w:hint="eastAsia" w:ascii="楷体_GB2312" w:eastAsia="楷体_GB2312"/>
          <w:b/>
          <w:sz w:val="24"/>
        </w:rPr>
        <w:t xml:space="preserve">                             </w:t>
      </w:r>
    </w:p>
    <w:p>
      <w:pPr>
        <w:tabs>
          <w:tab w:val="left" w:pos="5535"/>
        </w:tabs>
        <w:ind w:firstLine="4840" w:firstLineChars="2009"/>
        <w:jc w:val="left"/>
        <w:rPr>
          <w:rFonts w:hint="eastAsia" w:ascii="楷体_GB2312" w:eastAsia="楷体_GB2312"/>
          <w:sz w:val="24"/>
        </w:rPr>
      </w:pPr>
      <w:r>
        <w:rPr>
          <w:rFonts w:hint="eastAsia" w:ascii="楷体_GB2312" w:eastAsia="楷体_GB2312"/>
          <w:b/>
          <w:sz w:val="24"/>
        </w:rPr>
        <w:t xml:space="preserve">  202x年  月  日</w:t>
      </w:r>
    </w:p>
    <w:p>
      <w:pPr>
        <w:tabs>
          <w:tab w:val="left" w:pos="756"/>
        </w:tabs>
        <w:snapToGrid w:val="0"/>
        <w:spacing w:line="360" w:lineRule="auto"/>
        <w:jc w:val="left"/>
        <w:outlineLvl w:val="0"/>
        <w:rPr>
          <w:rFonts w:hint="eastAsia" w:ascii="仿宋_GB2312" w:eastAsia="仿宋_GB2312"/>
          <w:b/>
          <w:color w:val="000000"/>
          <w:sz w:val="28"/>
          <w:szCs w:val="28"/>
        </w:rPr>
      </w:pPr>
    </w:p>
    <w:p>
      <w:pPr>
        <w:rPr>
          <w:rFonts w:hint="eastAsia" w:ascii="仿宋_GB2312" w:eastAsia="仿宋_GB2312"/>
          <w:b/>
          <w:color w:val="000000"/>
          <w:sz w:val="28"/>
          <w:szCs w:val="28"/>
        </w:rPr>
      </w:pPr>
      <w:r>
        <w:rPr>
          <w:rFonts w:hint="eastAsia" w:ascii="仿宋_GB2312" w:eastAsia="仿宋_GB2312"/>
          <w:b/>
          <w:color w:val="000000"/>
          <w:sz w:val="28"/>
          <w:szCs w:val="28"/>
        </w:rPr>
        <w:br w:type="page"/>
      </w:r>
    </w:p>
    <w:p>
      <w:pPr>
        <w:tabs>
          <w:tab w:val="left" w:pos="756"/>
        </w:tabs>
        <w:snapToGrid w:val="0"/>
        <w:spacing w:line="360" w:lineRule="auto"/>
        <w:jc w:val="left"/>
        <w:outlineLvl w:val="0"/>
        <w:rPr>
          <w:rFonts w:hint="eastAsia" w:ascii="仿宋_GB2312" w:eastAsia="仿宋_GB2312"/>
          <w:b/>
          <w:color w:val="000000"/>
          <w:sz w:val="28"/>
          <w:szCs w:val="28"/>
        </w:rPr>
      </w:pPr>
      <w:r>
        <w:rPr>
          <w:rFonts w:hint="eastAsia" w:ascii="仿宋_GB2312" w:eastAsia="仿宋_GB2312"/>
          <w:b/>
          <w:color w:val="000000"/>
          <w:sz w:val="28"/>
          <w:szCs w:val="28"/>
        </w:rPr>
        <w:fldChar w:fldCharType="begin"/>
      </w:r>
      <w:r>
        <w:rPr>
          <w:rFonts w:hint="eastAsia" w:ascii="仿宋_GB2312" w:eastAsia="仿宋_GB2312"/>
          <w:b/>
          <w:color w:val="000000"/>
          <w:sz w:val="28"/>
          <w:szCs w:val="28"/>
        </w:rPr>
        <w:instrText xml:space="preserve"> HYPERLINK "http://10.25.0.23/AdministrativeAffair/ViewAffair.aspx?appID=0&amp;actiID=-1&amp;trackID=&amp;pendingID=1221704&amp;ItemID=&amp;RecordID=Aff000000141880&amp;PendOnly=true" </w:instrText>
      </w:r>
      <w:r>
        <w:rPr>
          <w:rFonts w:hint="eastAsia" w:ascii="仿宋_GB2312" w:eastAsia="仿宋_GB2312"/>
          <w:b/>
          <w:color w:val="000000"/>
          <w:sz w:val="28"/>
          <w:szCs w:val="28"/>
        </w:rPr>
        <w:fldChar w:fldCharType="separate"/>
      </w:r>
      <w:bookmarkStart w:id="22" w:name="_Toc505066193"/>
      <w:r>
        <w:rPr>
          <w:rFonts w:hint="eastAsia" w:ascii="仿宋_GB2312" w:eastAsia="仿宋_GB2312"/>
          <w:b/>
          <w:color w:val="000000"/>
          <w:sz w:val="28"/>
          <w:szCs w:val="28"/>
        </w:rPr>
        <w:t>附件</w:t>
      </w:r>
      <w:r>
        <w:rPr>
          <w:rFonts w:hint="eastAsia" w:ascii="仿宋_GB2312" w:eastAsia="仿宋_GB2312"/>
          <w:b/>
          <w:color w:val="000000"/>
          <w:sz w:val="28"/>
          <w:szCs w:val="28"/>
          <w:lang w:val="en-US" w:eastAsia="zh-CN"/>
        </w:rPr>
        <w:t>2：</w:t>
      </w:r>
      <w:r>
        <w:rPr>
          <w:rFonts w:hint="eastAsia" w:ascii="仿宋_GB2312" w:eastAsia="仿宋_GB2312"/>
          <w:b/>
          <w:color w:val="000000"/>
          <w:sz w:val="28"/>
          <w:szCs w:val="28"/>
        </w:rPr>
        <w:t xml:space="preserve"> </w:t>
      </w:r>
      <w:r>
        <w:rPr>
          <w:rFonts w:hint="eastAsia" w:ascii="仿宋_GB2312" w:eastAsia="仿宋_GB2312"/>
          <w:b/>
          <w:color w:val="000000"/>
          <w:sz w:val="28"/>
          <w:szCs w:val="28"/>
          <w:lang w:eastAsia="zh-CN"/>
        </w:rPr>
        <w:t>外来承包商</w:t>
      </w:r>
      <w:r>
        <w:rPr>
          <w:rFonts w:hint="eastAsia" w:ascii="仿宋_GB2312" w:eastAsia="仿宋_GB2312"/>
          <w:b/>
          <w:color w:val="000000"/>
          <w:sz w:val="28"/>
          <w:szCs w:val="28"/>
        </w:rPr>
        <w:t>环保管理协议（样本）</w:t>
      </w:r>
      <w:bookmarkEnd w:id="22"/>
      <w:r>
        <w:rPr>
          <w:rFonts w:hint="eastAsia" w:ascii="仿宋_GB2312" w:eastAsia="仿宋_GB2312"/>
          <w:b/>
          <w:color w:val="000000"/>
          <w:sz w:val="28"/>
          <w:szCs w:val="28"/>
        </w:rPr>
        <w:fldChar w:fldCharType="end"/>
      </w:r>
      <w:bookmarkEnd w:id="19"/>
      <w:bookmarkEnd w:id="20"/>
      <w:bookmarkEnd w:id="21"/>
    </w:p>
    <w:p>
      <w:pPr>
        <w:spacing w:line="360" w:lineRule="auto"/>
        <w:jc w:val="center"/>
        <w:rPr>
          <w:rFonts w:ascii="楷体_GB2312" w:hAnsi="楷体_GB2312"/>
          <w:b/>
          <w:bCs/>
          <w:sz w:val="28"/>
          <w:szCs w:val="28"/>
        </w:rPr>
      </w:pPr>
      <w:r>
        <w:rPr>
          <w:rFonts w:ascii="楷体_GB2312" w:hAnsi="楷体_GB2312"/>
          <w:b/>
          <w:bCs/>
          <w:sz w:val="28"/>
          <w:szCs w:val="28"/>
        </w:rPr>
        <w:t>四川泸州川南发电有限责任公司</w:t>
      </w:r>
    </w:p>
    <w:p>
      <w:pPr>
        <w:jc w:val="center"/>
        <w:rPr>
          <w:rFonts w:hint="eastAsia" w:ascii="黑体" w:hAnsi="Times New Roman" w:eastAsia="黑体" w:cs="Times New Roman"/>
          <w:sz w:val="36"/>
          <w:szCs w:val="36"/>
        </w:rPr>
      </w:pPr>
      <w:r>
        <w:rPr>
          <w:rFonts w:hint="eastAsia" w:ascii="黑体" w:hAnsi="黑体" w:eastAsia="黑体"/>
          <w:color w:val="000000"/>
          <w:spacing w:val="15"/>
          <w:kern w:val="0"/>
          <w:sz w:val="36"/>
          <w:szCs w:val="28"/>
        </w:rPr>
        <w:t>外来承包商</w:t>
      </w:r>
      <w:r>
        <w:rPr>
          <w:rFonts w:hint="eastAsia" w:ascii="黑体" w:hAnsi="Times New Roman" w:eastAsia="黑体" w:cs="Times New Roman"/>
          <w:sz w:val="36"/>
          <w:szCs w:val="36"/>
        </w:rPr>
        <w:t>环保管理协议</w:t>
      </w:r>
    </w:p>
    <w:p>
      <w:pPr>
        <w:jc w:val="center"/>
        <w:rPr>
          <w:rFonts w:hint="eastAsia" w:ascii="黑体" w:hAnsi="Times New Roman" w:eastAsia="黑体" w:cs="Times New Roman"/>
          <w:sz w:val="36"/>
          <w:szCs w:val="36"/>
        </w:rPr>
      </w:pPr>
    </w:p>
    <w:p>
      <w:pPr>
        <w:jc w:val="left"/>
        <w:rPr>
          <w:rFonts w:hint="eastAsia" w:ascii="楷体_GB2312" w:hAnsi="Times New Roman" w:eastAsia="楷体_GB2312" w:cs="Times New Roman"/>
          <w:b/>
          <w:sz w:val="24"/>
        </w:rPr>
      </w:pPr>
      <w:r>
        <w:rPr>
          <w:rFonts w:hint="eastAsia" w:ascii="楷体_GB2312" w:hAnsi="Times New Roman" w:eastAsia="楷体_GB2312" w:cs="Times New Roman"/>
          <w:b/>
          <w:sz w:val="24"/>
        </w:rPr>
        <w:t>发包人（甲方）：四川泸州川南发电有限责任公司</w:t>
      </w:r>
    </w:p>
    <w:p>
      <w:pPr>
        <w:jc w:val="left"/>
        <w:rPr>
          <w:rFonts w:hint="eastAsia" w:ascii="楷体_GB2312" w:hAnsi="Times New Roman" w:eastAsia="楷体_GB2312" w:cs="Times New Roman"/>
          <w:b/>
          <w:sz w:val="24"/>
        </w:rPr>
      </w:pPr>
      <w:r>
        <w:rPr>
          <w:rFonts w:hint="eastAsia" w:ascii="楷体_GB2312" w:hAnsi="Times New Roman" w:eastAsia="楷体_GB2312" w:cs="Times New Roman"/>
          <w:b/>
          <w:sz w:val="24"/>
        </w:rPr>
        <w:t>承包人（乙方）：</w:t>
      </w:r>
    </w:p>
    <w:p>
      <w:pPr>
        <w:ind w:firstLine="480" w:firstLineChars="200"/>
        <w:jc w:val="left"/>
        <w:rPr>
          <w:rFonts w:hint="eastAsia" w:ascii="仿宋_GB2312" w:hAnsi="宋体" w:eastAsia="仿宋_GB2312" w:cs="Times New Roman"/>
          <w:sz w:val="24"/>
        </w:rPr>
      </w:pPr>
      <w:r>
        <w:rPr>
          <w:rFonts w:hint="eastAsia" w:ascii="仿宋_GB2312" w:hAnsi="宋体" w:eastAsia="仿宋_GB2312" w:cs="Times New Roman"/>
          <w:sz w:val="24"/>
        </w:rPr>
        <w:t>为贯彻落实《中华人民共和国环境保护法》及相关法律、法规和条例，坚持保护优先、预防为主、综合治理、公众参与、损害担责的环境保护原则，强化企业环保管理，落实环保责任制，确保四川泸州川南发电有限责任公司技术改造工程建设、设备检修、设备维护项目过程中确保环保设施运行正常运行、环保措施执行到位</w:t>
      </w:r>
      <w:r>
        <w:rPr>
          <w:rFonts w:hint="eastAsia" w:ascii="仿宋_GB2312" w:hAnsi="宋体" w:eastAsia="仿宋_GB2312" w:cs="Times New Roman"/>
          <w:sz w:val="24"/>
          <w:szCs w:val="24"/>
        </w:rPr>
        <w:t>及废气污染物稳定实现超低限值排放</w:t>
      </w:r>
      <w:r>
        <w:rPr>
          <w:rFonts w:hint="eastAsia" w:ascii="仿宋_GB2312" w:hAnsi="宋体" w:eastAsia="仿宋_GB2312" w:cs="Times New Roman"/>
          <w:sz w:val="24"/>
        </w:rPr>
        <w:t>，减少生态破坏，有效保护环境，特签订本协议书</w:t>
      </w:r>
      <w:r>
        <w:rPr>
          <w:rFonts w:hint="eastAsia" w:ascii="仿宋_GB2312" w:hAnsi="宋体" w:eastAsia="仿宋_GB2312"/>
          <w:sz w:val="24"/>
        </w:rPr>
        <w:t>；甲乙双方在履行项目合同的过程中应遵循本协议的约定。</w:t>
      </w:r>
    </w:p>
    <w:p>
      <w:pPr>
        <w:ind w:firstLine="477" w:firstLineChars="198"/>
        <w:jc w:val="left"/>
        <w:rPr>
          <w:rFonts w:hint="eastAsia" w:ascii="楷体_GB2312" w:hAnsi="宋体" w:eastAsia="楷体_GB2312"/>
          <w:b/>
          <w:sz w:val="24"/>
        </w:rPr>
      </w:pPr>
      <w:r>
        <w:rPr>
          <w:rFonts w:hint="eastAsia" w:ascii="楷体_GB2312" w:hAnsi="宋体" w:eastAsia="楷体_GB2312"/>
          <w:b/>
          <w:sz w:val="24"/>
        </w:rPr>
        <w:t>一 环保生产目标</w:t>
      </w:r>
    </w:p>
    <w:p>
      <w:pPr>
        <w:ind w:firstLine="480" w:firstLineChars="200"/>
        <w:rPr>
          <w:rFonts w:hint="eastAsia" w:ascii="仿宋_GB2312" w:hAnsi="宋体" w:eastAsia="仿宋_GB2312"/>
          <w:sz w:val="24"/>
        </w:rPr>
      </w:pPr>
      <w:r>
        <w:rPr>
          <w:rFonts w:hint="eastAsia" w:ascii="仿宋_GB2312" w:hAnsi="宋体" w:eastAsia="仿宋_GB2312"/>
          <w:sz w:val="24"/>
        </w:rPr>
        <w:t>（一）四川泸州川南发电公司2×600MW机组环保管理目标：实现突发环境事件零目标，杜绝以下事件：</w:t>
      </w:r>
    </w:p>
    <w:p>
      <w:pPr>
        <w:ind w:firstLine="480" w:firstLineChars="200"/>
        <w:rPr>
          <w:rFonts w:hint="eastAsia" w:ascii="仿宋_GB2312" w:hAnsi="宋体" w:eastAsia="仿宋_GB2312"/>
          <w:sz w:val="24"/>
        </w:rPr>
      </w:pPr>
      <w:r>
        <w:rPr>
          <w:rFonts w:hint="eastAsia" w:ascii="仿宋_GB2312" w:hAnsi="宋体" w:eastAsia="仿宋_GB2312"/>
          <w:sz w:val="24"/>
        </w:rPr>
        <w:t>1. 不发生因对环保设施检修维护不及时造成的污染物超标排放或突发环境事件；</w:t>
      </w:r>
    </w:p>
    <w:p>
      <w:pPr>
        <w:ind w:firstLine="480" w:firstLineChars="200"/>
        <w:rPr>
          <w:rFonts w:hint="eastAsia" w:ascii="仿宋_GB2312" w:hAnsi="宋体" w:eastAsia="仿宋_GB2312"/>
          <w:sz w:val="24"/>
        </w:rPr>
      </w:pPr>
      <w:r>
        <w:rPr>
          <w:rFonts w:hint="eastAsia" w:ascii="仿宋_GB2312" w:hAnsi="宋体" w:eastAsia="仿宋_GB2312"/>
          <w:sz w:val="24"/>
        </w:rPr>
        <w:t>2. 不发生因野蛮施工、误操作造成的突发环境事件；</w:t>
      </w:r>
    </w:p>
    <w:p>
      <w:pPr>
        <w:ind w:firstLine="480" w:firstLineChars="200"/>
        <w:rPr>
          <w:rFonts w:hint="eastAsia" w:ascii="仿宋_GB2312" w:hAnsi="宋体" w:eastAsia="仿宋_GB2312"/>
          <w:sz w:val="24"/>
        </w:rPr>
      </w:pPr>
      <w:r>
        <w:rPr>
          <w:rFonts w:hint="eastAsia" w:ascii="仿宋_GB2312" w:hAnsi="宋体" w:eastAsia="仿宋_GB2312"/>
          <w:sz w:val="24"/>
        </w:rPr>
        <w:t>3. 不发生因设备改造、检修维护过程中未采取环保措施或措施执行不到位造成的突发环境事件；</w:t>
      </w:r>
    </w:p>
    <w:p>
      <w:pPr>
        <w:ind w:firstLine="480" w:firstLineChars="200"/>
        <w:rPr>
          <w:rFonts w:hint="eastAsia" w:ascii="仿宋_GB2312" w:hAnsi="宋体" w:eastAsia="仿宋_GB2312"/>
          <w:sz w:val="24"/>
        </w:rPr>
      </w:pPr>
      <w:r>
        <w:rPr>
          <w:rFonts w:hint="eastAsia" w:ascii="仿宋_GB2312" w:hAnsi="宋体" w:eastAsia="仿宋_GB2312"/>
          <w:sz w:val="24"/>
        </w:rPr>
        <w:t xml:space="preserve">4. 不发生因处置不当或未及时进行处置造成的突发环境事件； </w:t>
      </w:r>
    </w:p>
    <w:p>
      <w:pPr>
        <w:ind w:firstLine="480" w:firstLineChars="200"/>
        <w:rPr>
          <w:rFonts w:hint="eastAsia" w:ascii="仿宋_GB2312" w:hAnsi="宋体" w:eastAsia="仿宋_GB2312"/>
          <w:sz w:val="24"/>
        </w:rPr>
      </w:pPr>
      <w:r>
        <w:rPr>
          <w:rFonts w:hint="eastAsia" w:ascii="仿宋_GB2312" w:hAnsi="宋体" w:eastAsia="仿宋_GB2312"/>
          <w:sz w:val="24"/>
        </w:rPr>
        <w:t>5. 不发生因未按规定进行设备定期巡视、检查造成的突发环境事件。</w:t>
      </w:r>
    </w:p>
    <w:p>
      <w:pPr>
        <w:ind w:firstLine="480" w:firstLineChars="200"/>
        <w:rPr>
          <w:rFonts w:hint="eastAsia" w:ascii="仿宋_GB2312" w:hAnsi="宋体" w:eastAsia="仿宋_GB2312"/>
          <w:sz w:val="24"/>
        </w:rPr>
      </w:pPr>
      <w:r>
        <w:rPr>
          <w:rFonts w:hint="eastAsia" w:ascii="仿宋_GB2312" w:hAnsi="宋体" w:eastAsia="仿宋_GB2312"/>
          <w:sz w:val="24"/>
        </w:rPr>
        <w:t xml:space="preserve"> (二) 甲乙双方各自环保管理目标应以上述环保管理目标为基础，不得以自身原因影响上述环保管理目标的实现。</w:t>
      </w:r>
    </w:p>
    <w:p>
      <w:pPr>
        <w:ind w:firstLine="480" w:firstLineChars="200"/>
        <w:jc w:val="left"/>
        <w:rPr>
          <w:rFonts w:hint="eastAsia" w:ascii="楷体_GB2312" w:hAnsi="宋体" w:eastAsia="楷体_GB2312"/>
          <w:sz w:val="24"/>
        </w:rPr>
      </w:pPr>
      <w:r>
        <w:rPr>
          <w:rFonts w:hint="eastAsia" w:ascii="楷体_GB2312" w:hAnsi="宋体" w:eastAsia="楷体_GB2312"/>
          <w:sz w:val="24"/>
        </w:rPr>
        <w:t xml:space="preserve">二 </w:t>
      </w:r>
      <w:r>
        <w:rPr>
          <w:rFonts w:hint="eastAsia" w:ascii="楷体_GB2312" w:hAnsi="宋体" w:eastAsia="楷体_GB2312"/>
          <w:b/>
          <w:sz w:val="24"/>
        </w:rPr>
        <w:t>环保管理依据</w:t>
      </w:r>
    </w:p>
    <w:p>
      <w:pPr>
        <w:ind w:firstLine="480" w:firstLineChars="200"/>
        <w:jc w:val="left"/>
        <w:rPr>
          <w:rFonts w:hint="eastAsia" w:ascii="仿宋_GB2312" w:hAnsi="宋体" w:eastAsia="仿宋_GB2312"/>
          <w:sz w:val="24"/>
        </w:rPr>
      </w:pPr>
      <w:r>
        <w:rPr>
          <w:rFonts w:hint="eastAsia" w:ascii="仿宋_GB2312" w:hAnsi="宋体" w:eastAsia="仿宋_GB2312"/>
          <w:sz w:val="24"/>
        </w:rPr>
        <w:t>甲乙双方严格遵守有关环保管理法律、法规和规定，甲方实施环保管理依据包括但不限于：</w:t>
      </w:r>
    </w:p>
    <w:p>
      <w:pPr>
        <w:ind w:firstLine="480" w:firstLineChars="200"/>
        <w:jc w:val="left"/>
        <w:rPr>
          <w:rFonts w:hint="eastAsia" w:ascii="仿宋_GB2312" w:hAnsi="宋体" w:eastAsia="仿宋_GB2312"/>
          <w:sz w:val="24"/>
        </w:rPr>
      </w:pPr>
      <w:r>
        <w:rPr>
          <w:rFonts w:hint="eastAsia" w:ascii="仿宋_GB2312" w:hAnsi="宋体" w:eastAsia="仿宋_GB2312"/>
          <w:sz w:val="24"/>
        </w:rPr>
        <w:t>（一）《中华人民共和国环境保护法》（</w:t>
      </w:r>
      <w:r>
        <w:rPr>
          <w:rFonts w:hint="eastAsia" w:ascii="仿宋_GB2312" w:hAnsi="宋体" w:eastAsia="仿宋_GB2312"/>
          <w:b/>
          <w:sz w:val="24"/>
        </w:rPr>
        <w:t>2014</w:t>
      </w:r>
      <w:r>
        <w:rPr>
          <w:rFonts w:hint="eastAsia" w:ascii="仿宋_GB2312" w:hAnsi="宋体" w:eastAsia="仿宋_GB2312"/>
          <w:sz w:val="24"/>
        </w:rPr>
        <w:t>年修订）及其四个配套办法《环境保护部门主管部门实施按日连续处罚办法》（环境保护部令第28号）、《环境保护部门主管部门实施查封、扣押办法》（环境保护部令第29号）、《环境保护部门主管部门实施限期生产、停产整治办法》（环境保护部令第30号）、《企事业单位环境信息公开办法》（环境保护部令第31号）、《中华人民共和国大气污染防治法》、《中华人民共和国水污染防治法》、《中华人民共和国固体废物污染环境防治法》、《中华人民共和国土壤污染防治法》等其他法律、法规和环保管理文件。</w:t>
      </w:r>
    </w:p>
    <w:p>
      <w:pPr>
        <w:ind w:firstLine="480" w:firstLineChars="200"/>
        <w:jc w:val="left"/>
        <w:rPr>
          <w:rFonts w:hint="eastAsia" w:ascii="仿宋_GB2312" w:hAnsi="宋体" w:eastAsia="仿宋_GB2312"/>
          <w:sz w:val="24"/>
        </w:rPr>
      </w:pPr>
      <w:r>
        <w:rPr>
          <w:rFonts w:hint="eastAsia" w:ascii="仿宋_GB2312" w:hAnsi="宋体" w:eastAsia="仿宋_GB2312"/>
          <w:sz w:val="24"/>
        </w:rPr>
        <w:t>（二）环境保护部《燃煤火电企业环境守法导则》。</w:t>
      </w:r>
    </w:p>
    <w:p>
      <w:pPr>
        <w:ind w:firstLine="480" w:firstLineChars="200"/>
        <w:jc w:val="left"/>
        <w:rPr>
          <w:rFonts w:hint="eastAsia" w:ascii="仿宋_GB2312" w:hAnsi="宋体" w:eastAsia="仿宋_GB2312"/>
          <w:sz w:val="24"/>
        </w:rPr>
      </w:pPr>
      <w:r>
        <w:rPr>
          <w:rFonts w:hint="eastAsia" w:ascii="仿宋_GB2312" w:hAnsi="宋体" w:eastAsia="仿宋_GB2312"/>
          <w:sz w:val="24"/>
        </w:rPr>
        <w:t>（三）最高人民法院、最高人民检察院《关于办理环境污染刑事案件适用法律若干问题的解释》。</w:t>
      </w:r>
    </w:p>
    <w:p>
      <w:pPr>
        <w:ind w:firstLine="480" w:firstLineChars="200"/>
        <w:jc w:val="left"/>
        <w:rPr>
          <w:rFonts w:hint="eastAsia" w:ascii="仿宋_GB2312" w:hAnsi="宋体" w:eastAsia="仿宋_GB2312"/>
          <w:sz w:val="24"/>
        </w:rPr>
      </w:pPr>
      <w:r>
        <w:rPr>
          <w:rFonts w:hint="eastAsia" w:ascii="仿宋_GB2312" w:hAnsi="宋体" w:eastAsia="仿宋_GB2312"/>
          <w:sz w:val="24"/>
        </w:rPr>
        <w:t>（四）《电力工业环境保护管理办法》（电力工业部第9号令）</w:t>
      </w:r>
    </w:p>
    <w:p>
      <w:pPr>
        <w:ind w:firstLine="480" w:firstLineChars="200"/>
        <w:jc w:val="left"/>
        <w:rPr>
          <w:rFonts w:hint="eastAsia" w:ascii="仿宋_GB2312" w:hAnsi="宋体" w:eastAsia="仿宋_GB2312"/>
          <w:sz w:val="24"/>
        </w:rPr>
      </w:pPr>
      <w:r>
        <w:rPr>
          <w:rFonts w:hint="eastAsia" w:ascii="仿宋_GB2312" w:hAnsi="宋体" w:eastAsia="仿宋_GB2312"/>
          <w:sz w:val="24"/>
        </w:rPr>
        <w:t>（五）甲方上级有关环保管理的规定或文件。</w:t>
      </w:r>
    </w:p>
    <w:p>
      <w:pPr>
        <w:ind w:firstLine="480" w:firstLineChars="200"/>
        <w:jc w:val="left"/>
        <w:rPr>
          <w:rFonts w:hint="eastAsia" w:ascii="仿宋_GB2312" w:hAnsi="宋体" w:eastAsia="仿宋_GB2312"/>
          <w:sz w:val="24"/>
        </w:rPr>
      </w:pPr>
      <w:r>
        <w:rPr>
          <w:rFonts w:hint="eastAsia" w:ascii="仿宋_GB2312" w:hAnsi="宋体" w:eastAsia="仿宋_GB2312"/>
          <w:sz w:val="24"/>
        </w:rPr>
        <w:t>（六）相关招标文件、施工合同有关环保条款。</w:t>
      </w:r>
    </w:p>
    <w:p>
      <w:pPr>
        <w:ind w:firstLine="480" w:firstLineChars="200"/>
        <w:jc w:val="left"/>
        <w:rPr>
          <w:rFonts w:hint="eastAsia" w:ascii="仿宋_GB2312" w:hAnsi="宋体" w:eastAsia="仿宋_GB2312"/>
          <w:sz w:val="24"/>
        </w:rPr>
      </w:pPr>
      <w:r>
        <w:rPr>
          <w:rFonts w:hint="eastAsia" w:ascii="仿宋_GB2312" w:hAnsi="宋体" w:eastAsia="仿宋_GB2312"/>
          <w:sz w:val="24"/>
        </w:rPr>
        <w:t>（七）川南发电公司《环境保护管理标准》、《安全环保奖惩管理标准》、《突发环境事件应急预案》、《危险废物污染防治管理制度》、《危险废物突发环境事件应急预案》、《扬尘污染防治管理制度》、《文明生产责任区域划分及管理标准》、《垃圾处置管理办法》、《安全隐患排查治理管理制度》等。</w:t>
      </w:r>
    </w:p>
    <w:p>
      <w:pPr>
        <w:ind w:firstLine="480" w:firstLineChars="200"/>
        <w:rPr>
          <w:rFonts w:hint="eastAsia" w:ascii="仿宋_GB2312" w:hAnsi="仿宋_GB2312" w:eastAsia="仿宋_GB2312" w:cs="仿宋_GB2312"/>
          <w:sz w:val="24"/>
        </w:rPr>
      </w:pPr>
      <w:r>
        <w:rPr>
          <w:rFonts w:hint="eastAsia" w:ascii="仿宋_GB2312" w:hAnsi="宋体" w:eastAsia="仿宋_GB2312"/>
          <w:sz w:val="24"/>
        </w:rPr>
        <w:t>（八）</w:t>
      </w:r>
      <w:r>
        <w:rPr>
          <w:rFonts w:hint="eastAsia" w:ascii="仿宋_GB2312" w:hAnsi="仿宋_GB2312" w:eastAsia="仿宋_GB2312" w:cs="仿宋_GB2312"/>
          <w:sz w:val="24"/>
        </w:rPr>
        <w:t>川南发电有限责任公司年度安全生产、职业健康及环境保护工作目标。</w:t>
      </w:r>
    </w:p>
    <w:p>
      <w:pPr>
        <w:ind w:firstLine="480" w:firstLineChars="200"/>
        <w:jc w:val="left"/>
        <w:rPr>
          <w:rFonts w:hint="eastAsia" w:ascii="仿宋_GB2312" w:hAnsi="宋体" w:eastAsia="仿宋_GB2312"/>
          <w:sz w:val="24"/>
        </w:rPr>
      </w:pPr>
      <w:r>
        <w:rPr>
          <w:rFonts w:hint="eastAsia" w:ascii="仿宋_GB2312" w:hAnsi="宋体" w:eastAsia="仿宋_GB2312"/>
          <w:sz w:val="24"/>
        </w:rPr>
        <w:t>上述管理依据均以国家、行业及上级部门规定、甲方公司管理制度最新标准执行。乙方在履行项目合同过程中应遵守上述法规、规则。</w:t>
      </w:r>
    </w:p>
    <w:p>
      <w:pPr>
        <w:ind w:firstLine="472" w:firstLineChars="196"/>
        <w:jc w:val="left"/>
        <w:rPr>
          <w:rFonts w:hint="eastAsia" w:ascii="楷体_GB2312" w:hAnsi="宋体" w:eastAsia="楷体_GB2312"/>
          <w:b/>
          <w:sz w:val="24"/>
        </w:rPr>
      </w:pPr>
      <w:r>
        <w:rPr>
          <w:rFonts w:hint="eastAsia" w:ascii="楷体_GB2312" w:hAnsi="宋体" w:eastAsia="楷体_GB2312"/>
          <w:b/>
          <w:sz w:val="24"/>
        </w:rPr>
        <w:t>三 甲乙双方环保管理责任</w:t>
      </w:r>
    </w:p>
    <w:p>
      <w:pPr>
        <w:ind w:firstLine="472" w:firstLineChars="196"/>
        <w:jc w:val="left"/>
        <w:rPr>
          <w:rFonts w:hint="eastAsia" w:ascii="仿宋_GB2312" w:hAnsi="宋体" w:eastAsia="仿宋_GB2312"/>
          <w:b/>
          <w:sz w:val="24"/>
        </w:rPr>
      </w:pPr>
      <w:r>
        <w:rPr>
          <w:rFonts w:hint="eastAsia" w:ascii="仿宋_GB2312" w:hAnsi="宋体" w:eastAsia="仿宋_GB2312"/>
          <w:b/>
          <w:sz w:val="24"/>
        </w:rPr>
        <w:t>（一）甲方责任</w:t>
      </w:r>
    </w:p>
    <w:p>
      <w:pPr>
        <w:ind w:firstLine="480" w:firstLineChars="200"/>
        <w:jc w:val="left"/>
        <w:rPr>
          <w:rFonts w:hint="eastAsia" w:ascii="仿宋_GB2312" w:hAnsi="宋体" w:eastAsia="仿宋_GB2312"/>
          <w:sz w:val="24"/>
        </w:rPr>
      </w:pPr>
      <w:r>
        <w:rPr>
          <w:rFonts w:hint="eastAsia" w:ascii="仿宋_GB2312" w:hAnsi="宋体" w:eastAsia="仿宋_GB2312"/>
          <w:sz w:val="24"/>
        </w:rPr>
        <w:t>1. 甲方行政正职是本单位环保管理的第一责任者，对本单位的环保工作负全面责任，并建立健全完善员工环保生产责任制。</w:t>
      </w:r>
    </w:p>
    <w:p>
      <w:pPr>
        <w:ind w:firstLine="480" w:firstLineChars="200"/>
        <w:jc w:val="left"/>
        <w:rPr>
          <w:rFonts w:hint="eastAsia" w:ascii="仿宋_GB2312" w:hAnsi="宋体" w:eastAsia="仿宋_GB2312"/>
          <w:sz w:val="24"/>
        </w:rPr>
      </w:pPr>
      <w:r>
        <w:rPr>
          <w:rFonts w:hint="eastAsia" w:ascii="仿宋_GB2312" w:hAnsi="宋体" w:eastAsia="仿宋_GB2312"/>
          <w:sz w:val="24"/>
        </w:rPr>
        <w:t>2. 按有关规定要求，甲方负责组织成立川南发电环境保护领导小组，领导小组下设环保办公室和环保监察办公室，负责公司环保日常管理及监察事务；实施环保生产监督、检查、指导和考核，但这并不影响和减轻乙方应承担的责任。</w:t>
      </w:r>
    </w:p>
    <w:p>
      <w:pPr>
        <w:ind w:firstLine="480" w:firstLineChars="200"/>
        <w:jc w:val="left"/>
        <w:rPr>
          <w:rFonts w:hint="eastAsia" w:ascii="仿宋_GB2312" w:hAnsi="宋体" w:eastAsia="仿宋_GB2312"/>
          <w:sz w:val="24"/>
        </w:rPr>
      </w:pPr>
      <w:r>
        <w:rPr>
          <w:rFonts w:hint="eastAsia" w:ascii="仿宋_GB2312" w:hAnsi="宋体" w:eastAsia="仿宋_GB2312"/>
          <w:sz w:val="24"/>
        </w:rPr>
        <w:t>3. 甲方应严格遵守和执行本协议</w:t>
      </w:r>
      <w:r>
        <w:rPr>
          <w:rFonts w:hint="eastAsia" w:ascii="仿宋_GB2312" w:hAnsi="宋体" w:eastAsia="仿宋_GB2312"/>
          <w:b/>
          <w:sz w:val="24"/>
        </w:rPr>
        <w:t>第二条</w:t>
      </w:r>
      <w:r>
        <w:rPr>
          <w:rFonts w:hint="eastAsia" w:ascii="仿宋_GB2312" w:hAnsi="宋体" w:eastAsia="仿宋_GB2312"/>
          <w:sz w:val="24"/>
        </w:rPr>
        <w:t>中有关环保生产管理的规定，不得要求承包人违反环保管理的规定进行施工，不得违章指挥。</w:t>
      </w:r>
    </w:p>
    <w:p>
      <w:pPr>
        <w:ind w:firstLine="480" w:firstLineChars="200"/>
        <w:jc w:val="left"/>
        <w:rPr>
          <w:rFonts w:hint="eastAsia" w:ascii="仿宋_GB2312" w:hAnsi="宋体" w:eastAsia="仿宋_GB2312"/>
          <w:sz w:val="24"/>
        </w:rPr>
      </w:pPr>
      <w:r>
        <w:rPr>
          <w:rFonts w:hint="eastAsia" w:ascii="仿宋_GB2312" w:hAnsi="宋体" w:eastAsia="仿宋_GB2312"/>
          <w:sz w:val="24"/>
        </w:rPr>
        <w:t>4.甲方对乙方作业有监督职责，</w:t>
      </w:r>
      <w:r>
        <w:rPr>
          <w:rFonts w:hint="eastAsia" w:ascii="仿宋_GB2312" w:hAnsi="宋体" w:eastAsia="仿宋_GB2312" w:cs="Times New Roman"/>
          <w:sz w:val="24"/>
          <w:szCs w:val="24"/>
        </w:rPr>
        <w:t>乙方发生不环保行为，甲方按照合同或《安全环保奖惩管理标准》进行考核</w:t>
      </w:r>
      <w:r>
        <w:rPr>
          <w:rFonts w:hint="eastAsia" w:ascii="仿宋_GB2312" w:hAnsi="宋体" w:eastAsia="仿宋_GB2312"/>
          <w:sz w:val="24"/>
        </w:rPr>
        <w:t>。</w:t>
      </w:r>
    </w:p>
    <w:p>
      <w:pPr>
        <w:ind w:firstLine="480" w:firstLineChars="200"/>
        <w:jc w:val="left"/>
        <w:rPr>
          <w:rFonts w:hint="eastAsia" w:ascii="仿宋_GB2312" w:hAnsi="宋体" w:eastAsia="仿宋_GB2312"/>
          <w:sz w:val="24"/>
        </w:rPr>
      </w:pPr>
      <w:r>
        <w:rPr>
          <w:rFonts w:hint="eastAsia" w:ascii="仿宋_GB2312" w:hAnsi="宋体" w:eastAsia="仿宋_GB2312"/>
          <w:sz w:val="24"/>
        </w:rPr>
        <w:t>5. 因甲方原因导致的突发环境事件，甲方应承担相应责任。</w:t>
      </w:r>
    </w:p>
    <w:p>
      <w:pPr>
        <w:ind w:firstLine="472" w:firstLineChars="196"/>
        <w:jc w:val="left"/>
        <w:rPr>
          <w:rFonts w:hint="eastAsia" w:ascii="仿宋_GB2312" w:hAnsi="宋体" w:eastAsia="仿宋_GB2312"/>
          <w:b/>
          <w:sz w:val="24"/>
        </w:rPr>
      </w:pPr>
      <w:r>
        <w:rPr>
          <w:rFonts w:hint="eastAsia" w:ascii="仿宋_GB2312" w:hAnsi="宋体" w:eastAsia="仿宋_GB2312"/>
          <w:b/>
          <w:sz w:val="24"/>
        </w:rPr>
        <w:t>（二）乙方责任</w:t>
      </w:r>
    </w:p>
    <w:p>
      <w:pPr>
        <w:ind w:firstLine="475" w:firstLineChars="198"/>
        <w:jc w:val="left"/>
        <w:rPr>
          <w:rFonts w:hint="eastAsia" w:ascii="仿宋_GB2312" w:hAnsi="宋体" w:eastAsia="仿宋_GB2312"/>
          <w:sz w:val="24"/>
        </w:rPr>
      </w:pPr>
      <w:r>
        <w:rPr>
          <w:rFonts w:hint="eastAsia" w:ascii="仿宋_GB2312" w:hAnsi="宋体" w:eastAsia="仿宋_GB2312"/>
          <w:sz w:val="24"/>
        </w:rPr>
        <w:t>1. 乙方行政正职是本单位环保管理的第一责任人，对本单位的环保工作负全面责任，建立健全并落实全员环保生产责任制</w:t>
      </w:r>
      <w:r>
        <w:rPr>
          <w:rFonts w:hint="eastAsia" w:ascii="仿宋_GB2312" w:hAnsi="宋体" w:eastAsia="仿宋_GB2312" w:cs="Arial"/>
          <w:sz w:val="24"/>
        </w:rPr>
        <w:t>，满足环保管理要求。</w:t>
      </w:r>
    </w:p>
    <w:p>
      <w:pPr>
        <w:ind w:firstLine="480" w:firstLineChars="200"/>
        <w:jc w:val="left"/>
        <w:rPr>
          <w:rFonts w:hint="eastAsia" w:ascii="仿宋_GB2312" w:hAnsi="宋体" w:eastAsia="仿宋_GB2312"/>
          <w:sz w:val="24"/>
        </w:rPr>
      </w:pPr>
      <w:r>
        <w:rPr>
          <w:rFonts w:hint="eastAsia" w:ascii="仿宋_GB2312" w:hAnsi="宋体" w:eastAsia="仿宋_GB2312"/>
          <w:sz w:val="24"/>
        </w:rPr>
        <w:t>2.</w:t>
      </w:r>
      <w:r>
        <w:rPr>
          <w:rFonts w:hint="eastAsia" w:ascii="仿宋_GB2312" w:hAnsi="宋体" w:eastAsia="仿宋_GB2312" w:cs="Arial"/>
          <w:sz w:val="24"/>
        </w:rPr>
        <w:t xml:space="preserve"> </w:t>
      </w:r>
      <w:r>
        <w:rPr>
          <w:rFonts w:hint="eastAsia" w:ascii="仿宋_GB2312" w:hAnsi="宋体" w:eastAsia="仿宋_GB2312"/>
          <w:sz w:val="24"/>
        </w:rPr>
        <w:t>乙方应建立健全现场环保管理组织机构，进行环保管理。</w:t>
      </w:r>
      <w:r>
        <w:rPr>
          <w:rFonts w:hint="eastAsia" w:ascii="仿宋_GB2312" w:hAnsi="宋体" w:eastAsia="仿宋_GB2312" w:cs="Arial"/>
          <w:sz w:val="24"/>
        </w:rPr>
        <w:t>组织开展各类环保安全检查和隐患排查，乙方专（兼）职环保管理人员应对作业现场、作业环境、施工人员作业行为等进行检查、监督与协调，并经常向现场甲方汇报环保监督管理情况。</w:t>
      </w:r>
    </w:p>
    <w:p>
      <w:pPr>
        <w:ind w:firstLine="480" w:firstLineChars="200"/>
        <w:jc w:val="left"/>
        <w:rPr>
          <w:rFonts w:hint="eastAsia" w:ascii="仿宋_GB2312" w:hAnsi="宋体" w:eastAsia="仿宋_GB2312"/>
          <w:sz w:val="24"/>
        </w:rPr>
      </w:pPr>
      <w:r>
        <w:rPr>
          <w:rFonts w:hint="eastAsia" w:ascii="仿宋_GB2312" w:hAnsi="宋体" w:eastAsia="仿宋_GB2312"/>
          <w:sz w:val="24"/>
        </w:rPr>
        <w:t>3. 乙方严格遵守和执行本协议</w:t>
      </w:r>
      <w:r>
        <w:rPr>
          <w:rFonts w:hint="eastAsia" w:ascii="仿宋_GB2312" w:hAnsi="宋体" w:eastAsia="仿宋_GB2312"/>
          <w:b/>
          <w:sz w:val="24"/>
        </w:rPr>
        <w:t>第二条</w:t>
      </w:r>
      <w:r>
        <w:rPr>
          <w:rFonts w:hint="eastAsia" w:ascii="仿宋_GB2312" w:hAnsi="宋体" w:eastAsia="仿宋_GB2312"/>
          <w:sz w:val="24"/>
        </w:rPr>
        <w:t>有关安全管理规定，并结合本单位和生产特点，编制适合自身环保管理需要的环保管理制度，并落实和执行。</w:t>
      </w:r>
    </w:p>
    <w:p>
      <w:pPr>
        <w:ind w:firstLine="480" w:firstLineChars="200"/>
        <w:jc w:val="left"/>
        <w:rPr>
          <w:rFonts w:hint="eastAsia" w:ascii="仿宋_GB2312" w:hAnsi="宋体" w:eastAsia="仿宋_GB2312"/>
          <w:sz w:val="24"/>
        </w:rPr>
      </w:pPr>
      <w:r>
        <w:rPr>
          <w:rFonts w:hint="eastAsia" w:ascii="仿宋_GB2312" w:hAnsi="宋体" w:eastAsia="仿宋_GB2312"/>
          <w:sz w:val="24"/>
        </w:rPr>
        <w:t>4. 乙方根据生产现场和作业特点，编制合理的施工组织设计，制订完善的施工方案并按有关规定报审通过后执行；方案中必须包括：完善的环保技术设施、现场环境保护措施。</w:t>
      </w:r>
    </w:p>
    <w:p>
      <w:pPr>
        <w:ind w:firstLine="480" w:firstLineChars="200"/>
        <w:jc w:val="left"/>
        <w:rPr>
          <w:rFonts w:hint="eastAsia" w:ascii="仿宋_GB2312" w:hAnsi="宋体" w:eastAsia="仿宋_GB2312"/>
          <w:sz w:val="24"/>
        </w:rPr>
      </w:pPr>
      <w:r>
        <w:rPr>
          <w:rFonts w:hint="eastAsia" w:ascii="仿宋_GB2312" w:hAnsi="宋体" w:eastAsia="仿宋_GB2312"/>
          <w:sz w:val="24"/>
        </w:rPr>
        <w:t>5. 乙方服从甲方环保领导小组及其环保办公室和环保监察办公室对环保生产的管理，随时接受环保管理人员的监督检查。参加现场有关定期和不定期安全环保活动（会议、检查），接受有关奖惩细则、办法和考核。</w:t>
      </w:r>
    </w:p>
    <w:p>
      <w:pPr>
        <w:ind w:firstLine="480" w:firstLineChars="200"/>
        <w:jc w:val="left"/>
        <w:rPr>
          <w:rFonts w:hint="eastAsia" w:ascii="仿宋_GB2312" w:hAnsi="宋体" w:eastAsia="仿宋_GB2312"/>
          <w:sz w:val="24"/>
        </w:rPr>
      </w:pPr>
      <w:r>
        <w:rPr>
          <w:rFonts w:hint="eastAsia" w:ascii="仿宋_GB2312" w:hAnsi="宋体" w:eastAsia="仿宋_GB2312"/>
          <w:color w:val="000000"/>
          <w:sz w:val="24"/>
        </w:rPr>
        <w:t>6. 乙方有责任加强对劳务队伍的环保工作管理，劳务队伍的突发环境事件责任</w:t>
      </w:r>
      <w:r>
        <w:rPr>
          <w:rFonts w:hint="eastAsia" w:ascii="仿宋_GB2312" w:hAnsi="宋体" w:eastAsia="仿宋_GB2312"/>
          <w:sz w:val="24"/>
        </w:rPr>
        <w:t>乙方按照合同（或协议）由承包商及乙方负责；乙方按有关管理规定，加强对民工、合同工和新进场人员的环保管理和教育</w:t>
      </w:r>
      <w:r>
        <w:rPr>
          <w:rFonts w:hint="eastAsia" w:ascii="仿宋_GB2312" w:hAnsi="宋体" w:eastAsia="仿宋_GB2312" w:cs="Arial"/>
          <w:sz w:val="24"/>
        </w:rPr>
        <w:t>。</w:t>
      </w:r>
    </w:p>
    <w:p>
      <w:pPr>
        <w:tabs>
          <w:tab w:val="left" w:pos="8820"/>
          <w:tab w:val="left" w:pos="9180"/>
        </w:tabs>
        <w:autoSpaceDE w:val="0"/>
        <w:autoSpaceDN w:val="0"/>
        <w:adjustRightInd w:val="0"/>
        <w:ind w:firstLine="480" w:firstLineChars="200"/>
        <w:rPr>
          <w:rFonts w:hint="eastAsia" w:ascii="仿宋_GB2312" w:hAnsi="宋体" w:eastAsia="仿宋_GB2312" w:cs="Arial"/>
          <w:sz w:val="24"/>
        </w:rPr>
      </w:pPr>
      <w:r>
        <w:rPr>
          <w:rFonts w:hint="eastAsia" w:ascii="仿宋_GB2312" w:hAnsi="宋体" w:eastAsia="仿宋_GB2312"/>
          <w:sz w:val="24"/>
        </w:rPr>
        <w:t>7.</w:t>
      </w:r>
      <w:r>
        <w:rPr>
          <w:rFonts w:hint="eastAsia" w:ascii="仿宋_GB2312" w:hAnsi="宋体" w:eastAsia="仿宋_GB2312" w:cs="Arial"/>
          <w:kern w:val="0"/>
          <w:sz w:val="24"/>
          <w:lang w:val="zh-CN"/>
        </w:rPr>
        <w:t xml:space="preserve"> </w:t>
      </w:r>
      <w:r>
        <w:rPr>
          <w:rFonts w:hint="eastAsia" w:ascii="仿宋_GB2312" w:hAnsi="宋体" w:eastAsia="仿宋_GB2312" w:cs="Arial"/>
          <w:sz w:val="24"/>
        </w:rPr>
        <w:t>乙方施工前应完善施工环保措施，设置各类完善的安全环保警示标识、宣传标语、危险点分析、预防隔离等。</w:t>
      </w:r>
    </w:p>
    <w:p>
      <w:pPr>
        <w:tabs>
          <w:tab w:val="left" w:pos="8820"/>
          <w:tab w:val="left" w:pos="9180"/>
        </w:tabs>
        <w:autoSpaceDE w:val="0"/>
        <w:autoSpaceDN w:val="0"/>
        <w:adjustRightInd w:val="0"/>
        <w:ind w:firstLine="480" w:firstLineChars="200"/>
        <w:rPr>
          <w:rFonts w:hint="eastAsia" w:ascii="仿宋_GB2312" w:hAnsi="宋体" w:eastAsia="仿宋_GB2312" w:cs="Arial"/>
          <w:sz w:val="24"/>
        </w:rPr>
      </w:pPr>
      <w:r>
        <w:rPr>
          <w:rFonts w:hint="eastAsia" w:ascii="仿宋_GB2312" w:hAnsi="宋体" w:eastAsia="仿宋_GB2312" w:cs="Arial"/>
          <w:sz w:val="24"/>
        </w:rPr>
        <w:t>8.乙方在施工安全技术交底的同时必须进行环保安全交底工作，并做好记录。</w:t>
      </w:r>
    </w:p>
    <w:p>
      <w:pPr>
        <w:tabs>
          <w:tab w:val="left" w:pos="8820"/>
          <w:tab w:val="left" w:pos="9180"/>
        </w:tabs>
        <w:autoSpaceDE w:val="0"/>
        <w:autoSpaceDN w:val="0"/>
        <w:adjustRightInd w:val="0"/>
        <w:ind w:firstLine="480" w:firstLineChars="200"/>
        <w:rPr>
          <w:rFonts w:hint="eastAsia" w:ascii="仿宋_GB2312" w:hAnsi="宋体" w:eastAsia="仿宋_GB2312" w:cs="Arial"/>
          <w:sz w:val="24"/>
          <w:lang w:val="zh-CN"/>
        </w:rPr>
      </w:pPr>
      <w:r>
        <w:rPr>
          <w:rFonts w:hint="eastAsia" w:ascii="仿宋_GB2312" w:hAnsi="宋体" w:eastAsia="仿宋_GB2312" w:cs="Arial"/>
          <w:sz w:val="24"/>
          <w:lang w:val="en-US" w:eastAsia="zh-CN"/>
        </w:rPr>
        <w:t>9.因乙方原因造成安全环保事故，导致甲方及在甲方厂区内工作的人员遭受损失的，应当由乙方负责。</w:t>
      </w:r>
    </w:p>
    <w:p>
      <w:pPr>
        <w:ind w:firstLine="472" w:firstLineChars="196"/>
        <w:jc w:val="left"/>
        <w:rPr>
          <w:rFonts w:hint="eastAsia" w:ascii="楷体_GB2312" w:hAnsi="宋体" w:eastAsia="楷体_GB2312"/>
          <w:b/>
          <w:sz w:val="24"/>
        </w:rPr>
      </w:pPr>
      <w:r>
        <w:rPr>
          <w:rFonts w:hint="eastAsia" w:ascii="楷体_GB2312" w:hAnsi="宋体" w:eastAsia="楷体_GB2312"/>
          <w:b/>
          <w:sz w:val="24"/>
        </w:rPr>
        <w:t>四、事故处理</w:t>
      </w:r>
    </w:p>
    <w:p>
      <w:pPr>
        <w:ind w:firstLine="480" w:firstLineChars="200"/>
        <w:jc w:val="left"/>
        <w:rPr>
          <w:rFonts w:hint="eastAsia" w:ascii="仿宋_GB2312" w:hAnsi="宋体" w:eastAsia="仿宋_GB2312"/>
          <w:sz w:val="24"/>
        </w:rPr>
      </w:pPr>
      <w:r>
        <w:rPr>
          <w:rFonts w:hint="eastAsia" w:ascii="仿宋_GB2312" w:hAnsi="宋体" w:eastAsia="仿宋_GB2312"/>
          <w:sz w:val="24"/>
        </w:rPr>
        <w:t>（一）发生较大突发环境事件、重大突发环境事件，乙方应按规定立即将事故情况上报有关部门、现场组织机构及有关环保负责人，同时按政府或上级有关部门要求处理，由事件责任方承担发生的费用。甲方及时配合乙方开展应急处置工作。</w:t>
      </w:r>
    </w:p>
    <w:p>
      <w:pPr>
        <w:ind w:firstLine="480" w:firstLineChars="200"/>
        <w:jc w:val="left"/>
        <w:rPr>
          <w:rFonts w:hint="eastAsia" w:ascii="宋体" w:hAnsi="宋体"/>
          <w:sz w:val="24"/>
        </w:rPr>
      </w:pPr>
      <w:r>
        <w:rPr>
          <w:rFonts w:hint="eastAsia" w:ascii="仿宋_GB2312" w:hAnsi="宋体" w:eastAsia="仿宋_GB2312"/>
          <w:sz w:val="24"/>
        </w:rPr>
        <w:t>（二）甲乙双方对事件责任有争议时，应按政府或上级有关部门的认定处理。</w:t>
      </w:r>
    </w:p>
    <w:p>
      <w:pPr>
        <w:ind w:firstLine="472" w:firstLineChars="196"/>
        <w:jc w:val="left"/>
        <w:rPr>
          <w:rFonts w:hint="eastAsia" w:ascii="楷体_GB2312" w:hAnsi="宋体" w:eastAsia="楷体_GB2312"/>
          <w:b/>
          <w:sz w:val="24"/>
        </w:rPr>
      </w:pPr>
      <w:r>
        <w:rPr>
          <w:rFonts w:hint="eastAsia" w:ascii="楷体_GB2312" w:hAnsi="宋体" w:eastAsia="楷体_GB2312"/>
          <w:b/>
          <w:sz w:val="24"/>
        </w:rPr>
        <w:t>五、环保考核制度</w:t>
      </w:r>
    </w:p>
    <w:p>
      <w:pPr>
        <w:ind w:firstLine="470" w:firstLineChars="196"/>
        <w:jc w:val="left"/>
        <w:rPr>
          <w:rFonts w:hint="eastAsia" w:ascii="仿宋_GB2312" w:hAnsi="宋体" w:eastAsia="仿宋_GB2312"/>
          <w:sz w:val="24"/>
        </w:rPr>
      </w:pPr>
      <w:r>
        <w:rPr>
          <w:rFonts w:hint="eastAsia" w:ascii="仿宋_GB2312" w:hAnsi="宋体" w:eastAsia="仿宋_GB2312"/>
          <w:sz w:val="24"/>
        </w:rPr>
        <w:t>甲方对乙方实行环保与经济挂钩的管理办法，及时对不环保情况进行考核。考核款由乙方到甲方财务部门缴纳现金，对拒不缴纳或未按时缴纳者甲方有权从合同款、质保金中进行扣除。</w:t>
      </w:r>
    </w:p>
    <w:p>
      <w:pPr>
        <w:ind w:firstLine="480" w:firstLineChars="200"/>
        <w:jc w:val="left"/>
        <w:rPr>
          <w:rFonts w:hint="eastAsia" w:ascii="仿宋_GB2312" w:hAnsi="宋体" w:eastAsia="仿宋_GB2312"/>
          <w:bCs/>
          <w:sz w:val="24"/>
        </w:rPr>
      </w:pPr>
      <w:r>
        <w:rPr>
          <w:rFonts w:hint="eastAsia" w:ascii="仿宋_GB2312" w:hAnsi="宋体" w:eastAsia="仿宋_GB2312"/>
          <w:sz w:val="24"/>
        </w:rPr>
        <w:t xml:space="preserve">（一） </w:t>
      </w:r>
      <w:r>
        <w:rPr>
          <w:rFonts w:hint="eastAsia" w:ascii="仿宋_GB2312" w:hAnsi="宋体" w:eastAsia="仿宋_GB2312"/>
          <w:bCs/>
          <w:sz w:val="24"/>
        </w:rPr>
        <w:t>若乙方发</w:t>
      </w:r>
      <w:r>
        <w:rPr>
          <w:rFonts w:hint="eastAsia" w:ascii="仿宋_GB2312" w:hAnsi="宋体" w:eastAsia="仿宋_GB2312"/>
          <w:sz w:val="24"/>
        </w:rPr>
        <w:t>生Ⅰ级重大突发环境事件</w:t>
      </w:r>
      <w:r>
        <w:rPr>
          <w:rFonts w:hint="eastAsia" w:ascii="仿宋_GB2312" w:hAnsi="宋体" w:eastAsia="仿宋_GB2312"/>
          <w:bCs/>
          <w:sz w:val="24"/>
        </w:rPr>
        <w:t>，</w:t>
      </w:r>
      <w:r>
        <w:rPr>
          <w:rFonts w:hint="eastAsia" w:ascii="仿宋_GB2312" w:hAnsi="宋体" w:eastAsia="仿宋_GB2312"/>
          <w:bCs/>
          <w:color w:val="000000"/>
          <w:sz w:val="24"/>
        </w:rPr>
        <w:t>根据事件</w:t>
      </w:r>
      <w:r>
        <w:rPr>
          <w:rFonts w:hint="eastAsia" w:ascii="仿宋_GB2312" w:hAnsi="宋体" w:eastAsia="仿宋_GB2312"/>
          <w:bCs/>
          <w:sz w:val="24"/>
        </w:rPr>
        <w:t>严重性每次从工程款中扣减5-20万元，金额不足以合同款上限为准。</w:t>
      </w:r>
    </w:p>
    <w:p>
      <w:pPr>
        <w:ind w:firstLine="470" w:firstLineChars="196"/>
        <w:jc w:val="left"/>
        <w:rPr>
          <w:rFonts w:hint="eastAsia" w:ascii="仿宋_GB2312" w:hAnsi="宋体" w:eastAsia="仿宋_GB2312"/>
          <w:sz w:val="24"/>
        </w:rPr>
      </w:pPr>
      <w:r>
        <w:rPr>
          <w:rFonts w:hint="eastAsia" w:ascii="仿宋_GB2312" w:hAnsi="宋体" w:eastAsia="仿宋_GB2312"/>
          <w:bCs/>
          <w:color w:val="000000"/>
          <w:sz w:val="24"/>
        </w:rPr>
        <w:t xml:space="preserve">（二） </w:t>
      </w:r>
      <w:r>
        <w:rPr>
          <w:rFonts w:hint="eastAsia" w:ascii="仿宋_GB2312" w:hAnsi="宋体" w:eastAsia="仿宋_GB2312"/>
          <w:bCs/>
          <w:sz w:val="24"/>
        </w:rPr>
        <w:t>若乙方发生Ⅱ级</w:t>
      </w:r>
      <w:r>
        <w:rPr>
          <w:rFonts w:hint="eastAsia" w:ascii="仿宋_GB2312" w:hAnsi="宋体" w:eastAsia="仿宋_GB2312"/>
          <w:sz w:val="24"/>
        </w:rPr>
        <w:t>较大突发环境事件</w:t>
      </w:r>
      <w:r>
        <w:rPr>
          <w:rFonts w:hint="eastAsia" w:ascii="仿宋_GB2312" w:hAnsi="宋体" w:eastAsia="仿宋_GB2312"/>
          <w:bCs/>
          <w:sz w:val="24"/>
        </w:rPr>
        <w:t>，根据事件严重性每次从工程款中扣减1000元-3</w:t>
      </w:r>
      <w:r>
        <w:rPr>
          <w:rFonts w:hint="eastAsia" w:ascii="仿宋_GB2312" w:hAnsi="宋体" w:eastAsia="仿宋_GB2312"/>
          <w:sz w:val="24"/>
        </w:rPr>
        <w:t>万元，金额不足以合同款上限为准。</w:t>
      </w:r>
    </w:p>
    <w:p>
      <w:pPr>
        <w:ind w:firstLine="470" w:firstLineChars="196"/>
        <w:jc w:val="left"/>
        <w:rPr>
          <w:rFonts w:hint="eastAsia" w:ascii="仿宋_GB2312" w:hAnsi="宋体" w:eastAsia="仿宋_GB2312"/>
          <w:sz w:val="24"/>
        </w:rPr>
      </w:pPr>
      <w:r>
        <w:rPr>
          <w:rFonts w:hint="eastAsia" w:ascii="仿宋_GB2312" w:hAnsi="宋体" w:eastAsia="仿宋_GB2312"/>
          <w:sz w:val="24"/>
        </w:rPr>
        <w:t>（四） 若乙方发生Ⅲ级一般突发环境事件或</w:t>
      </w:r>
      <w:r>
        <w:rPr>
          <w:rFonts w:hint="eastAsia" w:ascii="仿宋_GB2312" w:hAnsi="宋体" w:eastAsia="仿宋_GB2312"/>
          <w:bCs/>
          <w:sz w:val="24"/>
        </w:rPr>
        <w:t>污染物短时</w:t>
      </w:r>
      <w:r>
        <w:rPr>
          <w:rFonts w:hint="eastAsia" w:ascii="仿宋_GB2312" w:hAnsi="宋体" w:eastAsia="仿宋_GB2312"/>
          <w:sz w:val="24"/>
        </w:rPr>
        <w:t>超标排放、环保隐患整改不力、环保措施执行不到位、环保管理不到位等异常情况，每次将按照甲方《安全环保奖惩管理标准》进行考核。</w:t>
      </w:r>
    </w:p>
    <w:p>
      <w:pPr>
        <w:ind w:firstLine="472" w:firstLineChars="196"/>
        <w:jc w:val="left"/>
        <w:rPr>
          <w:rFonts w:hint="eastAsia" w:ascii="楷体_GB2312" w:hAnsi="宋体" w:eastAsia="楷体_GB2312" w:cs="Times New Roman"/>
          <w:b/>
          <w:sz w:val="24"/>
        </w:rPr>
      </w:pPr>
      <w:r>
        <w:rPr>
          <w:rFonts w:hint="eastAsia" w:ascii="楷体_GB2312" w:hAnsi="宋体" w:eastAsia="楷体_GB2312" w:cs="Times New Roman"/>
          <w:b/>
          <w:sz w:val="24"/>
        </w:rPr>
        <w:t>六、本协议书与国家或上级有关法律、法规、制度、政策不吻合的，以上级为准。</w:t>
      </w:r>
    </w:p>
    <w:p>
      <w:pPr>
        <w:ind w:firstLine="472" w:firstLineChars="196"/>
        <w:jc w:val="left"/>
        <w:rPr>
          <w:rFonts w:hint="eastAsia" w:ascii="楷体_GB2312" w:hAnsi="宋体" w:eastAsia="楷体_GB2312" w:cs="Times New Roman"/>
          <w:b/>
          <w:sz w:val="24"/>
        </w:rPr>
      </w:pPr>
      <w:r>
        <w:rPr>
          <w:rFonts w:hint="eastAsia" w:ascii="楷体_GB2312" w:hAnsi="宋体" w:eastAsia="楷体_GB2312" w:cs="Times New Roman"/>
          <w:b/>
          <w:sz w:val="24"/>
        </w:rPr>
        <w:t>七、环保考核制度从签订《        合同》</w:t>
      </w:r>
      <w:r>
        <w:rPr>
          <w:rFonts w:hint="eastAsia" w:ascii="楷体_GB2312" w:hAnsi="宋体" w:eastAsia="楷体_GB2312"/>
          <w:b/>
          <w:bCs/>
          <w:sz w:val="24"/>
        </w:rPr>
        <w:t>承包商</w:t>
      </w:r>
      <w:r>
        <w:rPr>
          <w:rFonts w:hint="eastAsia" w:ascii="楷体_GB2312" w:hAnsi="宋体" w:eastAsia="楷体_GB2312" w:cs="Times New Roman"/>
          <w:b/>
          <w:sz w:val="24"/>
        </w:rPr>
        <w:t>环保管理协议书之日</w:t>
      </w:r>
      <w:r>
        <w:rPr>
          <w:rFonts w:hint="eastAsia" w:ascii="楷体_GB2312" w:hAnsi="宋体" w:eastAsia="楷体_GB2312" w:cs="Times New Roman"/>
          <w:b/>
          <w:sz w:val="24"/>
          <w:lang w:val="en-US" w:eastAsia="zh-CN"/>
        </w:rPr>
        <w:t>起</w:t>
      </w:r>
      <w:r>
        <w:rPr>
          <w:rFonts w:hint="eastAsia" w:ascii="楷体_GB2312" w:hAnsi="宋体" w:eastAsia="楷体_GB2312" w:cs="Times New Roman"/>
          <w:b/>
          <w:sz w:val="24"/>
        </w:rPr>
        <w:t>执行。</w:t>
      </w:r>
    </w:p>
    <w:p>
      <w:pPr>
        <w:ind w:firstLine="472" w:firstLineChars="196"/>
        <w:jc w:val="left"/>
        <w:rPr>
          <w:rFonts w:hint="eastAsia" w:ascii="楷体_GB2312" w:hAnsi="宋体" w:eastAsia="楷体_GB2312" w:cs="Times New Roman"/>
          <w:b/>
          <w:sz w:val="24"/>
        </w:rPr>
      </w:pPr>
      <w:r>
        <w:rPr>
          <w:rFonts w:hint="eastAsia" w:ascii="楷体_GB2312" w:hAnsi="宋体" w:eastAsia="楷体_GB2312" w:cs="Times New Roman"/>
          <w:b/>
          <w:sz w:val="24"/>
        </w:rPr>
        <w:t>八、本协议未尽事宜，双方按有关规定（制度）协商解决。</w:t>
      </w:r>
    </w:p>
    <w:p>
      <w:pPr>
        <w:snapToGrid w:val="0"/>
        <w:spacing w:line="360" w:lineRule="auto"/>
        <w:ind w:firstLine="482" w:firstLineChars="200"/>
        <w:rPr>
          <w:rFonts w:hint="eastAsia" w:ascii="仿宋_GB2312" w:hAnsi="Arial" w:eastAsia="仿宋_GB2312" w:cs="Arial"/>
          <w:bCs/>
          <w:szCs w:val="21"/>
          <w:lang w:bidi="ar"/>
        </w:rPr>
      </w:pPr>
      <w:r>
        <w:rPr>
          <w:rFonts w:hint="eastAsia" w:ascii="楷体_GB2312" w:hAnsi="宋体" w:eastAsia="楷体_GB2312" w:cs="Times New Roman"/>
          <w:b/>
          <w:sz w:val="24"/>
        </w:rPr>
        <w:t>九、本协议作为乙方与甲方签订《       合同》中涉及环保管理条款的具体实施细则，经双方签字后生效，在合同期内一直有效，随合同终止而终止。</w:t>
      </w:r>
    </w:p>
    <w:p>
      <w:pPr>
        <w:tabs>
          <w:tab w:val="left" w:pos="584"/>
        </w:tabs>
        <w:bidi w:val="0"/>
        <w:jc w:val="left"/>
        <w:rPr>
          <w:rFonts w:ascii="Times New Roman" w:hAnsi="Times New Roman" w:eastAsia="宋体" w:cs="Times New Roman"/>
          <w:kern w:val="2"/>
          <w:sz w:val="21"/>
          <w:szCs w:val="22"/>
          <w:lang w:val="en-US" w:eastAsia="zh-CN" w:bidi="ar-SA"/>
        </w:rPr>
        <w:sectPr>
          <w:headerReference r:id="rId4" w:type="default"/>
          <w:footerReference r:id="rId5" w:type="default"/>
          <w:pgSz w:w="11906" w:h="16838"/>
          <w:pgMar w:top="1440" w:right="1800" w:bottom="1440" w:left="1800" w:header="851" w:footer="992" w:gutter="0"/>
          <w:pgNumType w:start="1"/>
          <w:cols w:space="720" w:num="1"/>
          <w:docGrid w:type="lines" w:linePitch="312" w:charSpace="0"/>
        </w:sectPr>
      </w:pPr>
    </w:p>
    <w:p>
      <w:pPr>
        <w:spacing w:before="156" w:beforeLines="50" w:after="156" w:afterLines="50"/>
        <w:outlineLvl w:val="0"/>
        <w:rPr>
          <w:rFonts w:hint="eastAsia" w:ascii="宋体" w:hAnsi="宋体" w:cs="宋体"/>
          <w:bCs/>
          <w:sz w:val="24"/>
          <w:szCs w:val="24"/>
        </w:rPr>
      </w:pPr>
      <w:r>
        <w:rPr>
          <w:rFonts w:hint="eastAsia" w:ascii="宋体" w:hAnsi="宋体" w:cs="宋体"/>
          <w:bCs/>
          <w:kern w:val="0"/>
          <w:sz w:val="24"/>
          <w:szCs w:val="24"/>
        </w:rPr>
        <w:t>附件</w:t>
      </w:r>
      <w:r>
        <w:rPr>
          <w:rFonts w:hint="eastAsia" w:ascii="宋体" w:hAnsi="宋体" w:cs="宋体"/>
          <w:bCs/>
          <w:kern w:val="0"/>
          <w:sz w:val="24"/>
          <w:szCs w:val="24"/>
          <w:lang w:val="en-US" w:eastAsia="zh-CN"/>
        </w:rPr>
        <w:t>3：</w:t>
      </w:r>
      <w:r>
        <w:rPr>
          <w:rFonts w:hint="eastAsia" w:ascii="宋体" w:hAnsi="宋体" w:cs="宋体"/>
          <w:bCs/>
          <w:sz w:val="24"/>
          <w:szCs w:val="24"/>
        </w:rPr>
        <w:t>施工进度、质量考核实施细则</w:t>
      </w:r>
    </w:p>
    <w:p>
      <w:pPr>
        <w:spacing w:before="156" w:beforeLines="50" w:after="156" w:afterLines="50"/>
        <w:ind w:firstLine="3224" w:firstLineChars="1147"/>
        <w:jc w:val="both"/>
        <w:rPr>
          <w:rFonts w:hint="eastAsia" w:ascii="宋体" w:hAnsi="宋体" w:cs="宋体"/>
          <w:b/>
          <w:sz w:val="28"/>
          <w:szCs w:val="28"/>
        </w:rPr>
      </w:pPr>
      <w:r>
        <w:rPr>
          <w:rFonts w:hint="eastAsia" w:ascii="宋体" w:hAnsi="宋体" w:cs="宋体"/>
          <w:b/>
          <w:sz w:val="28"/>
          <w:szCs w:val="28"/>
        </w:rPr>
        <w:t>施工进度、质量考核实施细则</w:t>
      </w:r>
    </w:p>
    <w:tbl>
      <w:tblPr>
        <w:tblStyle w:val="11"/>
        <w:tblW w:w="0" w:type="auto"/>
        <w:tblInd w:w="0" w:type="dxa"/>
        <w:tblLayout w:type="fixed"/>
        <w:tblCellMar>
          <w:top w:w="0" w:type="dxa"/>
          <w:left w:w="108" w:type="dxa"/>
          <w:bottom w:w="0" w:type="dxa"/>
          <w:right w:w="108" w:type="dxa"/>
        </w:tblCellMar>
      </w:tblPr>
      <w:tblGrid>
        <w:gridCol w:w="883"/>
        <w:gridCol w:w="3040"/>
        <w:gridCol w:w="3288"/>
        <w:gridCol w:w="2736"/>
        <w:gridCol w:w="2014"/>
        <w:gridCol w:w="1983"/>
      </w:tblGrid>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Arial"/>
                <w:color w:val="000000"/>
                <w:sz w:val="18"/>
                <w:szCs w:val="18"/>
              </w:rPr>
            </w:pPr>
            <w:r>
              <w:rPr>
                <w:rFonts w:hint="eastAsia" w:ascii="宋体" w:hAnsi="宋体" w:cs="Arial"/>
                <w:color w:val="000000"/>
                <w:sz w:val="18"/>
                <w:szCs w:val="18"/>
              </w:rPr>
              <w:t>序号</w:t>
            </w:r>
          </w:p>
        </w:tc>
        <w:tc>
          <w:tcPr>
            <w:tcW w:w="3040"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cs="Arial"/>
                <w:color w:val="000000"/>
                <w:sz w:val="18"/>
                <w:szCs w:val="18"/>
              </w:rPr>
            </w:pPr>
            <w:r>
              <w:rPr>
                <w:rFonts w:hint="eastAsia" w:ascii="宋体" w:hAnsi="宋体" w:cs="Arial"/>
                <w:color w:val="000000"/>
                <w:sz w:val="18"/>
                <w:szCs w:val="18"/>
              </w:rPr>
              <w:t>考核内容</w:t>
            </w:r>
          </w:p>
        </w:tc>
        <w:tc>
          <w:tcPr>
            <w:tcW w:w="3288"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cs="Arial"/>
                <w:color w:val="000000"/>
                <w:sz w:val="18"/>
                <w:szCs w:val="18"/>
              </w:rPr>
            </w:pPr>
            <w:r>
              <w:rPr>
                <w:rFonts w:hint="eastAsia" w:ascii="宋体" w:hAnsi="宋体" w:cs="Arial"/>
                <w:color w:val="000000"/>
                <w:sz w:val="18"/>
                <w:szCs w:val="18"/>
              </w:rPr>
              <w:t>考核标准</w:t>
            </w:r>
          </w:p>
        </w:tc>
        <w:tc>
          <w:tcPr>
            <w:tcW w:w="2736"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cs="Arial"/>
                <w:color w:val="000000"/>
                <w:sz w:val="18"/>
                <w:szCs w:val="18"/>
              </w:rPr>
            </w:pPr>
            <w:r>
              <w:rPr>
                <w:rFonts w:hint="eastAsia" w:ascii="宋体" w:hAnsi="宋体" w:cs="Arial"/>
                <w:color w:val="000000"/>
                <w:sz w:val="18"/>
                <w:szCs w:val="18"/>
              </w:rPr>
              <w:t>被考核部门</w:t>
            </w:r>
          </w:p>
        </w:tc>
        <w:tc>
          <w:tcPr>
            <w:tcW w:w="201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cs="Arial"/>
                <w:color w:val="000000"/>
                <w:sz w:val="18"/>
                <w:szCs w:val="18"/>
              </w:rPr>
            </w:pPr>
            <w:r>
              <w:rPr>
                <w:rFonts w:hint="eastAsia" w:ascii="宋体" w:hAnsi="宋体" w:cs="Arial"/>
                <w:color w:val="000000"/>
                <w:sz w:val="18"/>
                <w:szCs w:val="18"/>
              </w:rPr>
              <w:t>部门扣奖</w:t>
            </w:r>
          </w:p>
        </w:tc>
        <w:tc>
          <w:tcPr>
            <w:tcW w:w="1983"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cs="Arial"/>
                <w:color w:val="000000"/>
                <w:sz w:val="18"/>
                <w:szCs w:val="18"/>
              </w:rPr>
            </w:pPr>
            <w:r>
              <w:rPr>
                <w:rFonts w:hint="eastAsia" w:ascii="宋体" w:hAnsi="宋体" w:cs="Arial"/>
                <w:color w:val="000000"/>
                <w:sz w:val="18"/>
                <w:szCs w:val="18"/>
              </w:rPr>
              <w:t>考核部门</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修前管理</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1.1</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主要材料、备品未按时到货</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eastAsia="宋体" w:cs="Arial"/>
                <w:color w:val="000000"/>
                <w:sz w:val="18"/>
                <w:szCs w:val="18"/>
                <w:lang w:val="en-US" w:eastAsia="zh-CN"/>
              </w:rPr>
            </w:pPr>
            <w:r>
              <w:rPr>
                <w:rFonts w:hint="eastAsia" w:ascii="宋体" w:hAnsi="宋体" w:cs="Arial"/>
                <w:color w:val="000000"/>
                <w:sz w:val="18"/>
                <w:szCs w:val="18"/>
              </w:rPr>
              <w:t>开工前到货验收</w:t>
            </w:r>
            <w:r>
              <w:rPr>
                <w:rFonts w:hint="eastAsia" w:ascii="宋体" w:hAnsi="宋体" w:cs="Arial"/>
                <w:color w:val="000000"/>
                <w:sz w:val="18"/>
                <w:szCs w:val="18"/>
                <w:lang w:val="en-US" w:eastAsia="zh-CN"/>
              </w:rPr>
              <w:t>合格</w:t>
            </w:r>
          </w:p>
        </w:tc>
        <w:tc>
          <w:tcPr>
            <w:tcW w:w="2736" w:type="dxa"/>
            <w:tcBorders>
              <w:top w:val="single" w:color="auto" w:sz="4" w:space="0"/>
              <w:left w:val="nil"/>
              <w:bottom w:val="single" w:color="auto" w:sz="4" w:space="0"/>
              <w:right w:val="single" w:color="auto" w:sz="4" w:space="0"/>
            </w:tcBorders>
            <w:noWrap w:val="0"/>
            <w:vAlign w:val="top"/>
          </w:tcPr>
          <w:p>
            <w:pPr>
              <w:rPr>
                <w:rFonts w:hint="default" w:ascii="宋体" w:hAnsi="宋体" w:eastAsia="宋体"/>
                <w:color w:val="000000"/>
                <w:sz w:val="18"/>
                <w:szCs w:val="18"/>
                <w:lang w:val="en-US" w:eastAsia="zh-CN"/>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每项扣200元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产品无“三证”</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无“三证”产品不能使用</w:t>
            </w:r>
          </w:p>
        </w:tc>
        <w:tc>
          <w:tcPr>
            <w:tcW w:w="2736" w:type="dxa"/>
            <w:tcBorders>
              <w:top w:val="single" w:color="auto" w:sz="4" w:space="0"/>
              <w:left w:val="nil"/>
              <w:bottom w:val="single" w:color="auto" w:sz="4" w:space="0"/>
              <w:right w:val="single" w:color="auto" w:sz="4" w:space="0"/>
            </w:tcBorders>
            <w:noWrap w:val="0"/>
            <w:vAlign w:val="top"/>
          </w:tcPr>
          <w:p>
            <w:pPr>
              <w:rPr>
                <w:rFonts w:hint="default" w:ascii="宋体" w:hAnsi="宋体" w:eastAsia="宋体"/>
                <w:color w:val="000000"/>
                <w:sz w:val="18"/>
                <w:szCs w:val="18"/>
                <w:lang w:val="en-US" w:eastAsia="zh-CN"/>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每项扣500元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1.3</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未经验收即领用</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领用前必须验收合格</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eastAsia="宋体" w:cs="Arial"/>
                <w:color w:val="000000"/>
                <w:sz w:val="18"/>
                <w:szCs w:val="18"/>
                <w:lang w:eastAsia="zh-CN"/>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w:t>
            </w:r>
            <w:r>
              <w:rPr>
                <w:rFonts w:hint="eastAsia" w:ascii="宋体" w:hAnsi="宋体" w:cs="Arial"/>
                <w:color w:val="000000"/>
                <w:sz w:val="18"/>
                <w:szCs w:val="18"/>
                <w:lang w:val="en-US" w:eastAsia="zh-CN"/>
              </w:rPr>
              <w:t>5</w:t>
            </w:r>
            <w:r>
              <w:rPr>
                <w:rFonts w:hint="eastAsia" w:ascii="宋体" w:hAnsi="宋体" w:cs="Arial"/>
                <w:color w:val="000000"/>
                <w:sz w:val="18"/>
                <w:szCs w:val="18"/>
              </w:rPr>
              <w:t>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1.4</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耐磨件、保温材料</w:t>
            </w:r>
            <w:r>
              <w:rPr>
                <w:rFonts w:hint="eastAsia" w:ascii="宋体" w:hAnsi="宋体" w:cs="Arial"/>
                <w:color w:val="000000"/>
                <w:sz w:val="18"/>
                <w:szCs w:val="18"/>
                <w:lang w:val="en-US" w:eastAsia="zh-CN"/>
              </w:rPr>
              <w:t>等</w:t>
            </w:r>
            <w:r>
              <w:rPr>
                <w:rFonts w:hint="eastAsia" w:ascii="宋体" w:hAnsi="宋体" w:cs="Arial"/>
                <w:color w:val="000000"/>
                <w:sz w:val="18"/>
                <w:szCs w:val="18"/>
              </w:rPr>
              <w:t>未取样化验</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必须取样化验合格后方能使用</w:t>
            </w:r>
          </w:p>
        </w:tc>
        <w:tc>
          <w:tcPr>
            <w:tcW w:w="2736" w:type="dxa"/>
            <w:tcBorders>
              <w:top w:val="single" w:color="auto" w:sz="4" w:space="0"/>
              <w:left w:val="nil"/>
              <w:bottom w:val="single" w:color="auto" w:sz="4" w:space="0"/>
              <w:right w:val="single" w:color="auto" w:sz="4" w:space="0"/>
            </w:tcBorders>
            <w:noWrap w:val="0"/>
            <w:vAlign w:val="top"/>
          </w:tcPr>
          <w:p>
            <w:pPr>
              <w:rPr>
                <w:rFonts w:hint="eastAsia" w:ascii="宋体" w:hAnsi="宋体" w:eastAsia="宋体"/>
                <w:color w:val="000000"/>
                <w:sz w:val="18"/>
                <w:szCs w:val="18"/>
                <w:lang w:eastAsia="zh-CN"/>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w:t>
            </w:r>
            <w:r>
              <w:rPr>
                <w:rFonts w:hint="eastAsia" w:ascii="宋体" w:hAnsi="宋体" w:cs="Arial"/>
                <w:color w:val="000000"/>
                <w:sz w:val="18"/>
                <w:szCs w:val="18"/>
                <w:lang w:val="en-US" w:eastAsia="zh-CN"/>
              </w:rPr>
              <w:t>5</w:t>
            </w:r>
            <w:r>
              <w:rPr>
                <w:rFonts w:hint="eastAsia" w:ascii="宋体" w:hAnsi="宋体" w:cs="Arial"/>
                <w:color w:val="000000"/>
                <w:sz w:val="18"/>
                <w:szCs w:val="18"/>
              </w:rPr>
              <w:t>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1.5</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新材料、新产品使用前未经鉴定批准</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使用前必须鉴定并经有关部门批准</w:t>
            </w:r>
          </w:p>
        </w:tc>
        <w:tc>
          <w:tcPr>
            <w:tcW w:w="2736" w:type="dxa"/>
            <w:tcBorders>
              <w:top w:val="single" w:color="auto" w:sz="4" w:space="0"/>
              <w:left w:val="nil"/>
              <w:bottom w:val="single" w:color="auto" w:sz="4" w:space="0"/>
              <w:right w:val="single" w:color="auto" w:sz="4" w:space="0"/>
            </w:tcBorders>
            <w:noWrap w:val="0"/>
            <w:vAlign w:val="top"/>
          </w:tcPr>
          <w:p>
            <w:pPr>
              <w:rPr>
                <w:rFonts w:hint="default" w:ascii="宋体" w:hAnsi="宋体"/>
                <w:color w:val="000000"/>
                <w:sz w:val="18"/>
                <w:szCs w:val="18"/>
                <w:lang w:val="en-US"/>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每项扣500元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1.6</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工器具未到位</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开工</w:t>
            </w:r>
            <w:r>
              <w:rPr>
                <w:rFonts w:hint="eastAsia" w:ascii="宋体" w:hAnsi="宋体" w:cs="Arial"/>
                <w:color w:val="000000"/>
                <w:sz w:val="18"/>
                <w:szCs w:val="18"/>
              </w:rPr>
              <w:t>前应到场</w:t>
            </w:r>
          </w:p>
        </w:tc>
        <w:tc>
          <w:tcPr>
            <w:tcW w:w="2736" w:type="dxa"/>
            <w:tcBorders>
              <w:top w:val="single" w:color="auto" w:sz="4" w:space="0"/>
              <w:left w:val="nil"/>
              <w:bottom w:val="single" w:color="auto" w:sz="4" w:space="0"/>
              <w:right w:val="single" w:color="auto" w:sz="4" w:space="0"/>
            </w:tcBorders>
            <w:noWrap w:val="0"/>
            <w:vAlign w:val="top"/>
          </w:tcPr>
          <w:p>
            <w:pPr>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每项扣500元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1.7</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测量工具未经有关部门标定</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必须经有关部门标定，并在有效期内</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每项扣200元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1.8</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专用工具未检查或修理</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专用工具在修前必须检查验收合格</w:t>
            </w:r>
          </w:p>
        </w:tc>
        <w:tc>
          <w:tcPr>
            <w:tcW w:w="2736" w:type="dxa"/>
            <w:tcBorders>
              <w:top w:val="single" w:color="auto" w:sz="4" w:space="0"/>
              <w:left w:val="nil"/>
              <w:bottom w:val="single" w:color="auto" w:sz="4" w:space="0"/>
              <w:right w:val="single" w:color="auto" w:sz="4" w:space="0"/>
            </w:tcBorders>
            <w:noWrap w:val="0"/>
            <w:vAlign w:val="top"/>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w:t>
            </w:r>
            <w:r>
              <w:rPr>
                <w:rFonts w:hint="eastAsia" w:ascii="宋体" w:hAnsi="宋体" w:cs="Arial"/>
                <w:color w:val="000000"/>
                <w:sz w:val="18"/>
                <w:szCs w:val="18"/>
                <w:lang w:val="en-US" w:eastAsia="zh-CN"/>
              </w:rPr>
              <w:t>5</w:t>
            </w:r>
            <w:r>
              <w:rPr>
                <w:rFonts w:hint="eastAsia" w:ascii="宋体" w:hAnsi="宋体" w:cs="Arial"/>
                <w:color w:val="000000"/>
                <w:sz w:val="18"/>
                <w:szCs w:val="18"/>
              </w:rPr>
              <w:t>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1.9</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起重工具未进行检查验收</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必须检查验收合格</w:t>
            </w:r>
          </w:p>
        </w:tc>
        <w:tc>
          <w:tcPr>
            <w:tcW w:w="2736" w:type="dxa"/>
            <w:tcBorders>
              <w:top w:val="single" w:color="auto" w:sz="4" w:space="0"/>
              <w:left w:val="nil"/>
              <w:bottom w:val="single" w:color="auto" w:sz="4" w:space="0"/>
              <w:right w:val="single" w:color="auto" w:sz="4" w:space="0"/>
            </w:tcBorders>
            <w:noWrap w:val="0"/>
            <w:vAlign w:val="top"/>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w:t>
            </w:r>
            <w:r>
              <w:rPr>
                <w:rFonts w:hint="eastAsia" w:ascii="宋体" w:hAnsi="宋体" w:cs="Arial"/>
                <w:color w:val="000000"/>
                <w:sz w:val="18"/>
                <w:szCs w:val="18"/>
                <w:lang w:val="en-US" w:eastAsia="zh-CN"/>
              </w:rPr>
              <w:t>5</w:t>
            </w:r>
            <w:r>
              <w:rPr>
                <w:rFonts w:hint="eastAsia" w:ascii="宋体" w:hAnsi="宋体" w:cs="Arial"/>
                <w:color w:val="000000"/>
                <w:sz w:val="18"/>
                <w:szCs w:val="18"/>
              </w:rPr>
              <w:t>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1.10</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安全带未做拉力试验</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必须全面检查，并做拉力试验</w:t>
            </w:r>
          </w:p>
        </w:tc>
        <w:tc>
          <w:tcPr>
            <w:tcW w:w="2736" w:type="dxa"/>
            <w:tcBorders>
              <w:top w:val="single" w:color="auto" w:sz="4" w:space="0"/>
              <w:left w:val="nil"/>
              <w:bottom w:val="single" w:color="auto" w:sz="4" w:space="0"/>
              <w:right w:val="single" w:color="auto" w:sz="4" w:space="0"/>
            </w:tcBorders>
            <w:noWrap w:val="0"/>
            <w:vAlign w:val="top"/>
          </w:tcPr>
          <w:p>
            <w:pPr>
              <w:rPr>
                <w:rFonts w:ascii="宋体" w:hAnsi="宋体"/>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w:t>
            </w:r>
            <w:r>
              <w:rPr>
                <w:rFonts w:hint="eastAsia" w:ascii="宋体" w:hAnsi="宋体" w:cs="Arial"/>
                <w:color w:val="000000"/>
                <w:sz w:val="18"/>
                <w:szCs w:val="18"/>
                <w:lang w:val="en-US" w:eastAsia="zh-CN"/>
              </w:rPr>
              <w:t>2</w:t>
            </w:r>
            <w:r>
              <w:rPr>
                <w:rFonts w:hint="eastAsia" w:ascii="宋体" w:hAnsi="宋体" w:cs="Arial"/>
                <w:color w:val="000000"/>
                <w:sz w:val="18"/>
                <w:szCs w:val="18"/>
              </w:rPr>
              <w:t>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highlight w:val="none"/>
              </w:rPr>
            </w:pPr>
            <w:r>
              <w:rPr>
                <w:rFonts w:hint="eastAsia" w:ascii="宋体" w:hAnsi="宋体" w:cs="Arial"/>
                <w:color w:val="000000"/>
                <w:sz w:val="18"/>
                <w:szCs w:val="18"/>
                <w:highlight w:val="none"/>
              </w:rPr>
              <w:t>安全</w:t>
            </w:r>
            <w:r>
              <w:rPr>
                <w:rFonts w:hint="eastAsia" w:ascii="宋体" w:hAnsi="宋体" w:cs="Arial"/>
                <w:color w:val="000000"/>
                <w:sz w:val="18"/>
                <w:szCs w:val="18"/>
                <w:highlight w:val="none"/>
                <w:lang w:val="en-US" w:eastAsia="zh-CN"/>
              </w:rPr>
              <w:t>健康环保监</w:t>
            </w:r>
            <w:r>
              <w:rPr>
                <w:rFonts w:hint="eastAsia" w:ascii="宋体" w:hAnsi="宋体" w:cs="Arial"/>
                <w:color w:val="000000"/>
                <w:sz w:val="18"/>
                <w:szCs w:val="18"/>
                <w:highlight w:val="none"/>
              </w:rPr>
              <w:t>察部</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1.11</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电动工具未经检查试验</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必须检查试验合格</w:t>
            </w:r>
          </w:p>
        </w:tc>
        <w:tc>
          <w:tcPr>
            <w:tcW w:w="2736" w:type="dxa"/>
            <w:tcBorders>
              <w:top w:val="single" w:color="auto" w:sz="4" w:space="0"/>
              <w:left w:val="nil"/>
              <w:bottom w:val="single" w:color="auto" w:sz="4" w:space="0"/>
              <w:right w:val="single" w:color="auto" w:sz="4" w:space="0"/>
            </w:tcBorders>
            <w:noWrap w:val="0"/>
            <w:vAlign w:val="top"/>
          </w:tcPr>
          <w:p>
            <w:pPr>
              <w:rPr>
                <w:rFonts w:ascii="宋体" w:hAnsi="宋体"/>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每项扣500元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highlight w:val="none"/>
              </w:rPr>
            </w:pPr>
            <w:r>
              <w:rPr>
                <w:rFonts w:hint="eastAsia" w:ascii="宋体" w:hAnsi="宋体" w:cs="Arial"/>
                <w:color w:val="000000"/>
                <w:sz w:val="18"/>
                <w:szCs w:val="18"/>
                <w:highlight w:val="none"/>
              </w:rPr>
              <w:t>安全</w:t>
            </w:r>
            <w:r>
              <w:rPr>
                <w:rFonts w:hint="eastAsia" w:ascii="宋体" w:hAnsi="宋体" w:cs="Arial"/>
                <w:color w:val="000000"/>
                <w:sz w:val="18"/>
                <w:szCs w:val="18"/>
                <w:highlight w:val="none"/>
                <w:lang w:val="en-US" w:eastAsia="zh-CN"/>
              </w:rPr>
              <w:t>健康环保监</w:t>
            </w:r>
            <w:r>
              <w:rPr>
                <w:rFonts w:hint="eastAsia" w:ascii="宋体" w:hAnsi="宋体" w:cs="Arial"/>
                <w:color w:val="000000"/>
                <w:sz w:val="18"/>
                <w:szCs w:val="18"/>
                <w:highlight w:val="none"/>
              </w:rPr>
              <w:t>察部</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1.12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eastAsia="宋体" w:cs="Arial"/>
                <w:color w:val="000000"/>
                <w:sz w:val="18"/>
                <w:szCs w:val="18"/>
                <w:lang w:eastAsia="zh-CN"/>
              </w:rPr>
            </w:pPr>
            <w:r>
              <w:rPr>
                <w:rFonts w:hint="eastAsia" w:ascii="宋体" w:hAnsi="宋体" w:cs="Arial"/>
                <w:color w:val="000000"/>
                <w:sz w:val="18"/>
                <w:szCs w:val="18"/>
              </w:rPr>
              <w:t>锅炉房电梯未做全面检查</w:t>
            </w:r>
            <w:r>
              <w:rPr>
                <w:rFonts w:hint="eastAsia" w:ascii="宋体" w:hAnsi="宋体" w:cs="Arial"/>
                <w:color w:val="000000"/>
                <w:sz w:val="18"/>
                <w:szCs w:val="18"/>
                <w:lang w:eastAsia="zh-CN"/>
              </w:rPr>
              <w:t>、无故不遵守指挥部安排参与电梯司机轮值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eastAsia="宋体" w:cs="Arial"/>
                <w:color w:val="000000"/>
                <w:sz w:val="18"/>
                <w:szCs w:val="18"/>
                <w:lang w:eastAsia="zh-CN"/>
              </w:rPr>
            </w:pPr>
            <w:r>
              <w:rPr>
                <w:rFonts w:hint="eastAsia" w:ascii="宋体" w:hAnsi="宋体" w:cs="Arial"/>
                <w:color w:val="000000"/>
                <w:sz w:val="18"/>
                <w:szCs w:val="18"/>
              </w:rPr>
              <w:t>必须进行全面检查，能安全可靠运行</w:t>
            </w:r>
            <w:r>
              <w:rPr>
                <w:rFonts w:hint="eastAsia" w:ascii="宋体" w:hAnsi="宋体" w:cs="Arial"/>
                <w:color w:val="000000"/>
                <w:sz w:val="18"/>
                <w:szCs w:val="18"/>
                <w:lang w:eastAsia="zh-CN"/>
              </w:rPr>
              <w:t>；电梯轮值期间，确保值班人员按时到岗，期间不擅自离岗</w:t>
            </w:r>
          </w:p>
        </w:tc>
        <w:tc>
          <w:tcPr>
            <w:tcW w:w="2736" w:type="dxa"/>
            <w:tcBorders>
              <w:top w:val="single" w:color="auto" w:sz="4" w:space="0"/>
              <w:left w:val="nil"/>
              <w:bottom w:val="single" w:color="auto" w:sz="4" w:space="0"/>
              <w:right w:val="single" w:color="auto" w:sz="4" w:space="0"/>
            </w:tcBorders>
            <w:noWrap w:val="0"/>
            <w:vAlign w:val="top"/>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损坏一次扣1000元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highlight w:val="none"/>
              </w:rPr>
            </w:pPr>
            <w:r>
              <w:rPr>
                <w:rFonts w:hint="eastAsia" w:ascii="宋体" w:hAnsi="宋体" w:cs="Arial"/>
                <w:color w:val="000000"/>
                <w:sz w:val="18"/>
                <w:szCs w:val="18"/>
                <w:highlight w:val="none"/>
              </w:rPr>
              <w:t>安全</w:t>
            </w:r>
            <w:r>
              <w:rPr>
                <w:rFonts w:hint="eastAsia" w:ascii="宋体" w:hAnsi="宋体" w:cs="Arial"/>
                <w:color w:val="000000"/>
                <w:sz w:val="18"/>
                <w:szCs w:val="18"/>
                <w:highlight w:val="none"/>
                <w:lang w:val="en-US" w:eastAsia="zh-CN"/>
              </w:rPr>
              <w:t>健康环保监</w:t>
            </w:r>
            <w:r>
              <w:rPr>
                <w:rFonts w:hint="eastAsia" w:ascii="宋体" w:hAnsi="宋体" w:cs="Arial"/>
                <w:color w:val="000000"/>
                <w:sz w:val="18"/>
                <w:szCs w:val="18"/>
                <w:highlight w:val="none"/>
              </w:rPr>
              <w:t>察部</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1.13</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主要项目、特殊项目、技改项目无施工方案</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开工前须审批</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每项扣500元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1.14</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未办理进场开工手续</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经各部门审批</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扣1000元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1.15</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项目经理及技术人员未到位</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按合同约定</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项目经理非合同约定，或无相应资质，扣1万元；主要技术人员未到位，缺1人扣2000元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1.16</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施工</w:t>
            </w:r>
            <w:r>
              <w:rPr>
                <w:rFonts w:hint="eastAsia" w:ascii="宋体" w:hAnsi="宋体" w:cs="Arial"/>
                <w:color w:val="000000"/>
                <w:sz w:val="18"/>
                <w:szCs w:val="18"/>
              </w:rPr>
              <w:t>人员不到位</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人员应按合同约定到齐</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缺1人，考核500元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1.17</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未按时进场开工</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按时开工</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每迟1天，考核5000元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1.18</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工作票办理不及时</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按时开工</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每项扣500元</w:t>
            </w:r>
          </w:p>
        </w:tc>
        <w:tc>
          <w:tcPr>
            <w:tcW w:w="1983" w:type="dxa"/>
            <w:tcBorders>
              <w:top w:val="single" w:color="auto" w:sz="4" w:space="0"/>
              <w:left w:val="nil"/>
              <w:bottom w:val="single" w:color="auto" w:sz="4" w:space="0"/>
              <w:right w:val="single" w:color="auto" w:sz="4" w:space="0"/>
            </w:tcBorders>
            <w:noWrap w:val="0"/>
            <w:vAlign w:val="top"/>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修中管理</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2.1</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项目管理</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2.1.1</w:t>
            </w:r>
          </w:p>
        </w:tc>
        <w:tc>
          <w:tcPr>
            <w:tcW w:w="3040" w:type="dxa"/>
            <w:tcBorders>
              <w:top w:val="single" w:color="auto" w:sz="4" w:space="0"/>
              <w:left w:val="nil"/>
              <w:bottom w:val="single" w:color="auto" w:sz="4" w:space="0"/>
              <w:right w:val="single" w:color="auto" w:sz="4" w:space="0"/>
            </w:tcBorders>
            <w:noWrap w:val="0"/>
            <w:vAlign w:val="center"/>
          </w:tcPr>
          <w:p>
            <w:pPr>
              <w:spacing w:line="340" w:lineRule="exact"/>
              <w:rPr>
                <w:rFonts w:ascii="宋体" w:hAnsi="宋体" w:cs="Arial"/>
                <w:color w:val="000000"/>
                <w:sz w:val="18"/>
                <w:szCs w:val="18"/>
              </w:rPr>
            </w:pPr>
            <w:r>
              <w:rPr>
                <w:rFonts w:hint="eastAsia" w:ascii="宋体" w:hAnsi="宋体" w:cs="Arial"/>
                <w:color w:val="000000"/>
                <w:sz w:val="18"/>
                <w:szCs w:val="18"/>
              </w:rPr>
              <w:t>标准、非标、技改、技术监督、反措等项目漏项</w:t>
            </w:r>
          </w:p>
        </w:tc>
        <w:tc>
          <w:tcPr>
            <w:tcW w:w="3288" w:type="dxa"/>
            <w:tcBorders>
              <w:top w:val="single" w:color="auto" w:sz="4" w:space="0"/>
              <w:left w:val="nil"/>
              <w:bottom w:val="single" w:color="auto" w:sz="4" w:space="0"/>
              <w:right w:val="single" w:color="auto" w:sz="4" w:space="0"/>
            </w:tcBorders>
            <w:noWrap w:val="0"/>
            <w:vAlign w:val="center"/>
          </w:tcPr>
          <w:p>
            <w:pPr>
              <w:spacing w:line="340" w:lineRule="exact"/>
              <w:rPr>
                <w:rFonts w:ascii="宋体" w:hAnsi="宋体" w:cs="Arial"/>
                <w:color w:val="000000"/>
                <w:sz w:val="18"/>
                <w:szCs w:val="18"/>
              </w:rPr>
            </w:pPr>
            <w:r>
              <w:rPr>
                <w:rFonts w:hint="eastAsia" w:ascii="宋体" w:hAnsi="宋体" w:cs="Arial"/>
                <w:color w:val="000000"/>
                <w:sz w:val="18"/>
                <w:szCs w:val="18"/>
              </w:rPr>
              <w:t>以对应的项目计划为准</w:t>
            </w:r>
          </w:p>
        </w:tc>
        <w:tc>
          <w:tcPr>
            <w:tcW w:w="2736" w:type="dxa"/>
            <w:tcBorders>
              <w:top w:val="single" w:color="auto" w:sz="4" w:space="0"/>
              <w:left w:val="nil"/>
              <w:bottom w:val="single" w:color="auto" w:sz="4" w:space="0"/>
              <w:right w:val="single" w:color="auto" w:sz="4" w:space="0"/>
            </w:tcBorders>
            <w:noWrap w:val="0"/>
            <w:vAlign w:val="top"/>
          </w:tcPr>
          <w:p>
            <w:pPr>
              <w:rPr>
                <w:rFonts w:ascii="宋体" w:hAnsi="宋体"/>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每项扣500元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2.1.2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质检项目漏项</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以项目计划为准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w:t>
            </w:r>
            <w:r>
              <w:rPr>
                <w:rFonts w:hint="eastAsia" w:ascii="宋体" w:hAnsi="宋体" w:cs="Arial"/>
                <w:color w:val="000000"/>
                <w:sz w:val="18"/>
                <w:szCs w:val="18"/>
                <w:lang w:val="en-US" w:eastAsia="zh-CN"/>
              </w:rPr>
              <w:t>2</w:t>
            </w:r>
            <w:r>
              <w:rPr>
                <w:rFonts w:hint="eastAsia" w:ascii="宋体" w:hAnsi="宋体" w:cs="Arial"/>
                <w:color w:val="000000"/>
                <w:sz w:val="18"/>
                <w:szCs w:val="18"/>
              </w:rPr>
              <w:t>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2.1.3</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进口设备备品不落实而解体</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备品不落实不能解体</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每项扣500-2000元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2.1.4</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应申办异动申请而未办理或申请未经批准即开工</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设备异动前应办理异动申请并经批准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每项扣1000元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2.1.5</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eastAsia="宋体" w:cs="Arial"/>
                <w:color w:val="000000"/>
                <w:sz w:val="18"/>
                <w:szCs w:val="18"/>
                <w:lang w:eastAsia="zh-CN"/>
              </w:rPr>
            </w:pPr>
            <w:r>
              <w:rPr>
                <w:rFonts w:hint="eastAsia" w:ascii="宋体" w:hAnsi="宋体" w:cs="Arial"/>
                <w:color w:val="000000"/>
                <w:sz w:val="18"/>
                <w:szCs w:val="18"/>
                <w:lang w:eastAsia="zh-CN"/>
              </w:rPr>
              <w:t>未按标准要求对设备做好成品保护，造成设备损坏或污染</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宋体" w:hAnsi="宋体" w:eastAsia="宋体" w:cs="Arial"/>
                <w:color w:val="000000"/>
                <w:sz w:val="18"/>
                <w:szCs w:val="18"/>
                <w:lang w:val="en-US" w:eastAsia="zh-CN"/>
              </w:rPr>
            </w:pPr>
            <w:r>
              <w:rPr>
                <w:rFonts w:hint="eastAsia" w:ascii="宋体" w:hAnsi="宋体" w:cs="Arial"/>
                <w:color w:val="000000"/>
                <w:sz w:val="18"/>
                <w:szCs w:val="18"/>
                <w:lang w:eastAsia="zh-CN"/>
              </w:rPr>
              <w:t>满足检修管理手册以及现场目视化管理要求</w:t>
            </w:r>
            <w:r>
              <w:rPr>
                <w:rFonts w:hint="eastAsia" w:ascii="宋体" w:hAnsi="宋体" w:cs="Arial"/>
                <w:color w:val="000000"/>
                <w:sz w:val="18"/>
                <w:szCs w:val="18"/>
                <w:lang w:val="en-US" w:eastAsia="zh-CN"/>
              </w:rPr>
              <w:t>等</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cs="Arial"/>
                <w:color w:val="000000"/>
                <w:sz w:val="18"/>
                <w:szCs w:val="18"/>
              </w:rPr>
            </w:pPr>
            <w:r>
              <w:rPr>
                <w:rFonts w:hint="eastAsia" w:ascii="宋体" w:hAnsi="宋体" w:cs="Arial"/>
                <w:color w:val="000000"/>
                <w:sz w:val="18"/>
                <w:szCs w:val="18"/>
              </w:rPr>
              <w:t>每项扣</w:t>
            </w:r>
            <w:r>
              <w:rPr>
                <w:rFonts w:hint="eastAsia" w:ascii="宋体" w:hAnsi="宋体" w:cs="Arial"/>
                <w:color w:val="000000"/>
                <w:sz w:val="18"/>
                <w:szCs w:val="18"/>
                <w:lang w:val="en-US" w:eastAsia="zh-CN"/>
              </w:rPr>
              <w:t>2</w:t>
            </w:r>
            <w:r>
              <w:rPr>
                <w:rFonts w:hint="eastAsia" w:ascii="宋体" w:hAnsi="宋体" w:cs="Arial"/>
                <w:color w:val="000000"/>
                <w:sz w:val="18"/>
                <w:szCs w:val="18"/>
              </w:rPr>
              <w:t>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质量管理</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2.2.1</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违犯作业指导书规定</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以规定标准及程序为准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每项扣200元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违犯工艺纪律</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以设备检修工艺纪律为准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每项扣500元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2.2.3</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三级验收不合格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按作业指导书或规程规定</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每项扣1000元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2.2.4</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三级验收再次验收不合格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按作业指导书或规程规定</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每项扣2000元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2.2.5</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H点验收不合格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验收标准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每项扣300元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2.2.6</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W点验收不合格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验收标准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每项扣200元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2.2.7</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H点再次验收不合格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验收标准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每项扣600元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2.2.8</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W点再次验收不合格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验收标准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每项扣400元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2.2.9</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H点未经验收即进行下道工序</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不验收合格不能进行下道工序</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每项扣1000元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2.2.10</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单机试转不合格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验收标准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每项扣1000元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2.2.11</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分系统试转不合格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验收标准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每项扣5000元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2.2.12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发生误停、误动、误操作</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规程规定</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每项扣1000元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2.2.13</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冷态验收硬件不合格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验收标准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每项扣300元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2.2.14</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冷态验收软件不合格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验收标准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每项扣300元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2.2.15</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再次冷态验收不合格</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验收标准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每项扣1000元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2.2.16</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设备损坏</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专业</w:t>
            </w:r>
            <w:r>
              <w:rPr>
                <w:rFonts w:hint="eastAsia" w:ascii="宋体" w:hAnsi="宋体" w:cs="Arial"/>
                <w:color w:val="000000"/>
                <w:sz w:val="18"/>
                <w:szCs w:val="18"/>
              </w:rPr>
              <w:t>认定为准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负责赔偿更换，或</w:t>
            </w:r>
            <w:r>
              <w:rPr>
                <w:rFonts w:hint="eastAsia" w:ascii="宋体" w:hAnsi="宋体" w:cs="Arial"/>
                <w:color w:val="000000"/>
                <w:sz w:val="18"/>
                <w:szCs w:val="18"/>
                <w:lang w:val="en-US" w:eastAsia="zh-CN"/>
              </w:rPr>
              <w:t>赔偿</w:t>
            </w:r>
            <w:r>
              <w:rPr>
                <w:rFonts w:hint="eastAsia" w:ascii="宋体" w:hAnsi="宋体" w:cs="Arial"/>
                <w:color w:val="000000"/>
                <w:sz w:val="18"/>
                <w:szCs w:val="18"/>
              </w:rPr>
              <w:t>由此造成的损失，并考核</w:t>
            </w:r>
            <w:r>
              <w:rPr>
                <w:rFonts w:hint="eastAsia" w:ascii="宋体" w:hAnsi="宋体" w:cs="Arial"/>
                <w:color w:val="000000"/>
                <w:sz w:val="18"/>
                <w:szCs w:val="18"/>
                <w:lang w:val="en-US" w:eastAsia="zh-CN"/>
              </w:rPr>
              <w:t>0.1</w:t>
            </w:r>
            <w:r>
              <w:rPr>
                <w:rFonts w:hint="eastAsia" w:ascii="宋体" w:hAnsi="宋体" w:cs="Arial"/>
                <w:color w:val="000000"/>
                <w:sz w:val="18"/>
                <w:szCs w:val="18"/>
              </w:rPr>
              <w:t>-1</w:t>
            </w:r>
            <w:r>
              <w:rPr>
                <w:rFonts w:hint="eastAsia" w:ascii="宋体" w:hAnsi="宋体" w:cs="Arial"/>
                <w:color w:val="000000"/>
                <w:sz w:val="18"/>
                <w:szCs w:val="18"/>
                <w:lang w:val="en-US" w:eastAsia="zh-CN"/>
              </w:rPr>
              <w:t>万</w:t>
            </w:r>
            <w:r>
              <w:rPr>
                <w:rFonts w:hint="eastAsia" w:ascii="宋体" w:hAnsi="宋体" w:cs="Arial"/>
                <w:color w:val="000000"/>
                <w:sz w:val="18"/>
                <w:szCs w:val="18"/>
              </w:rPr>
              <w:t>元/次</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2.2.17</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检修中发生质量事故</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专业</w:t>
            </w:r>
            <w:r>
              <w:rPr>
                <w:rFonts w:hint="eastAsia" w:ascii="宋体" w:hAnsi="宋体" w:cs="Arial"/>
                <w:color w:val="000000"/>
                <w:sz w:val="18"/>
                <w:szCs w:val="18"/>
              </w:rPr>
              <w:t>认定为准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考核0.5-5万元/次，发生重大质量事故，专项处理</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2.3</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检修</w:t>
            </w:r>
            <w:r>
              <w:rPr>
                <w:rFonts w:hint="eastAsia" w:ascii="宋体" w:hAnsi="宋体" w:cs="Arial"/>
                <w:color w:val="000000"/>
                <w:sz w:val="18"/>
                <w:szCs w:val="18"/>
              </w:rPr>
              <w:t>协调管理</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2.3.1</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不按时出席调度会或协调会</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按规定</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缺席每人次扣100元</w:t>
            </w:r>
          </w:p>
          <w:p>
            <w:pPr>
              <w:spacing w:line="360" w:lineRule="exact"/>
              <w:rPr>
                <w:rFonts w:ascii="宋体" w:hAnsi="宋体" w:cs="Arial"/>
                <w:color w:val="000000"/>
                <w:sz w:val="18"/>
                <w:szCs w:val="18"/>
              </w:rPr>
            </w:pPr>
            <w:r>
              <w:rPr>
                <w:rFonts w:hint="eastAsia" w:ascii="宋体" w:hAnsi="宋体" w:cs="Arial"/>
                <w:color w:val="000000"/>
                <w:sz w:val="18"/>
                <w:szCs w:val="18"/>
              </w:rPr>
              <w:t>迟到每人次扣50元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2.3.2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不按时出席专业会</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按规定</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缺席每人次扣100元</w:t>
            </w:r>
          </w:p>
          <w:p>
            <w:pPr>
              <w:spacing w:line="360" w:lineRule="exact"/>
              <w:rPr>
                <w:rFonts w:ascii="宋体" w:hAnsi="宋体" w:cs="Arial"/>
                <w:color w:val="000000"/>
                <w:sz w:val="18"/>
                <w:szCs w:val="18"/>
              </w:rPr>
            </w:pPr>
            <w:r>
              <w:rPr>
                <w:rFonts w:hint="eastAsia" w:ascii="宋体" w:hAnsi="宋体" w:cs="Arial"/>
                <w:color w:val="000000"/>
                <w:sz w:val="18"/>
                <w:szCs w:val="18"/>
              </w:rPr>
              <w:t>迟到每人次扣50元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2.3.3</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交办工作不落实</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按规定</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每项扣1000元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2.3.4</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专业、部门间发送的工作联系单超过24小时没有回音</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以发送的工作联系单时的时间为准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w:t>
            </w:r>
            <w:r>
              <w:rPr>
                <w:rFonts w:hint="eastAsia" w:ascii="宋体" w:hAnsi="宋体" w:cs="Arial"/>
                <w:color w:val="000000"/>
                <w:sz w:val="18"/>
                <w:szCs w:val="18"/>
                <w:lang w:val="en-US" w:eastAsia="zh-CN"/>
              </w:rPr>
              <w:t>5</w:t>
            </w:r>
            <w:r>
              <w:rPr>
                <w:rFonts w:hint="eastAsia" w:ascii="宋体" w:hAnsi="宋体" w:cs="Arial"/>
                <w:color w:val="000000"/>
                <w:sz w:val="18"/>
                <w:szCs w:val="18"/>
              </w:rPr>
              <w:t>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Arial"/>
                <w:color w:val="000000"/>
                <w:sz w:val="18"/>
                <w:szCs w:val="18"/>
                <w:lang w:eastAsia="zh-CN"/>
              </w:rPr>
            </w:pPr>
            <w:r>
              <w:rPr>
                <w:rFonts w:hint="eastAsia" w:ascii="宋体" w:hAnsi="宋体" w:cs="Arial"/>
                <w:color w:val="000000"/>
                <w:sz w:val="18"/>
                <w:szCs w:val="18"/>
              </w:rPr>
              <w:t>2.</w:t>
            </w:r>
            <w:r>
              <w:rPr>
                <w:rFonts w:hint="eastAsia" w:ascii="宋体" w:hAnsi="宋体" w:cs="Arial"/>
                <w:color w:val="000000"/>
                <w:sz w:val="18"/>
                <w:szCs w:val="18"/>
                <w:lang w:val="en-US" w:eastAsia="zh-CN"/>
              </w:rPr>
              <w:t>4</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检修工期管理</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2.4.1</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因备品加工及材料供应不及时拖延工期</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以</w:t>
            </w:r>
            <w:r>
              <w:rPr>
                <w:rFonts w:hint="eastAsia" w:ascii="宋体" w:hAnsi="宋体" w:cs="Arial"/>
                <w:color w:val="000000"/>
                <w:sz w:val="18"/>
                <w:szCs w:val="18"/>
              </w:rPr>
              <w:t>认定为准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20" w:lineRule="exact"/>
              <w:rPr>
                <w:rFonts w:ascii="宋体" w:hAnsi="宋体" w:cs="Arial"/>
                <w:color w:val="000000"/>
                <w:sz w:val="18"/>
                <w:szCs w:val="18"/>
              </w:rPr>
            </w:pPr>
            <w:r>
              <w:rPr>
                <w:rFonts w:hint="eastAsia" w:ascii="宋体" w:hAnsi="宋体" w:cs="Arial"/>
                <w:color w:val="000000"/>
                <w:sz w:val="18"/>
                <w:szCs w:val="18"/>
              </w:rPr>
              <w:t>拖延专业工期一天扣500元，拖延总工期一天扣1000元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2.4.2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工期延误</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以</w:t>
            </w:r>
            <w:r>
              <w:rPr>
                <w:rFonts w:hint="eastAsia" w:ascii="宋体" w:hAnsi="宋体" w:cs="Arial"/>
                <w:color w:val="000000"/>
                <w:sz w:val="18"/>
                <w:szCs w:val="18"/>
              </w:rPr>
              <w:t>认定为准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20" w:lineRule="exact"/>
              <w:rPr>
                <w:rFonts w:ascii="宋体" w:hAnsi="宋体" w:cs="Arial"/>
                <w:color w:val="000000"/>
                <w:sz w:val="18"/>
                <w:szCs w:val="18"/>
              </w:rPr>
            </w:pPr>
            <w:r>
              <w:rPr>
                <w:rFonts w:hint="eastAsia" w:ascii="宋体" w:hAnsi="宋体" w:cs="Arial"/>
                <w:color w:val="000000"/>
                <w:sz w:val="18"/>
                <w:szCs w:val="18"/>
              </w:rPr>
              <w:t>拖延专业工期一天扣5000元，拖延总工期一天扣10000元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3</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修后管理</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3.1</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设备不见本色、积灰积油等</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冷态验收时提出为准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每处扣100元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3.2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阀门手轮、设备标识、防护设施、介质流向不齐全不完整、不正确</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冷态验收时提出为准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每处扣100元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3.3</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需消除的设备缺陷或漏点</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冷态验收时提出为准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每项扣200元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Arial"/>
                <w:color w:val="000000"/>
                <w:sz w:val="18"/>
                <w:szCs w:val="18"/>
                <w:lang w:eastAsia="zh-CN"/>
              </w:rPr>
            </w:pPr>
            <w:r>
              <w:rPr>
                <w:rFonts w:hint="eastAsia" w:ascii="宋体" w:hAnsi="宋体" w:cs="Arial"/>
                <w:color w:val="000000"/>
                <w:sz w:val="18"/>
                <w:szCs w:val="18"/>
              </w:rPr>
              <w:t>3.</w:t>
            </w:r>
            <w:r>
              <w:rPr>
                <w:rFonts w:hint="eastAsia" w:ascii="宋体" w:hAnsi="宋体" w:cs="Arial"/>
                <w:color w:val="000000"/>
                <w:sz w:val="18"/>
                <w:szCs w:val="18"/>
                <w:lang w:val="en-US" w:eastAsia="zh-CN"/>
              </w:rPr>
              <w:t>4</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修后机组启动未成功</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以并网及解列为准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一次扣1-5万元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3.</w:t>
            </w:r>
            <w:r>
              <w:rPr>
                <w:rFonts w:hint="eastAsia" w:ascii="宋体" w:hAnsi="宋体" w:cs="Arial"/>
                <w:color w:val="000000"/>
                <w:sz w:val="18"/>
                <w:szCs w:val="18"/>
                <w:lang w:val="en-US" w:eastAsia="zh-CN"/>
              </w:rPr>
              <w:t>5</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首次启动发生泄漏</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漏汽、风、油、水等</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每项扣200-20000元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Arial"/>
                <w:color w:val="000000"/>
                <w:sz w:val="18"/>
                <w:szCs w:val="18"/>
                <w:lang w:eastAsia="zh-CN"/>
              </w:rPr>
            </w:pPr>
            <w:r>
              <w:rPr>
                <w:rFonts w:hint="eastAsia" w:ascii="宋体" w:hAnsi="宋体" w:cs="Arial"/>
                <w:color w:val="000000"/>
                <w:sz w:val="18"/>
                <w:szCs w:val="18"/>
              </w:rPr>
              <w:t>3.</w:t>
            </w:r>
            <w:r>
              <w:rPr>
                <w:rFonts w:hint="eastAsia" w:ascii="宋体" w:hAnsi="宋体" w:cs="Arial"/>
                <w:color w:val="000000"/>
                <w:sz w:val="18"/>
                <w:szCs w:val="18"/>
                <w:lang w:val="en-US" w:eastAsia="zh-CN"/>
              </w:rPr>
              <w:t>6</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发生设备异常及以上事件</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以</w:t>
            </w:r>
            <w:r>
              <w:rPr>
                <w:rFonts w:hint="eastAsia" w:ascii="宋体" w:hAnsi="宋体" w:cs="Arial"/>
                <w:color w:val="000000"/>
                <w:sz w:val="18"/>
                <w:szCs w:val="18"/>
              </w:rPr>
              <w:t>认定为准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承担相应责任及费用</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highlight w:val="none"/>
              </w:rPr>
            </w:pPr>
            <w:r>
              <w:rPr>
                <w:rFonts w:hint="eastAsia" w:ascii="宋体" w:hAnsi="宋体" w:cs="Arial"/>
                <w:color w:val="000000"/>
                <w:sz w:val="18"/>
                <w:szCs w:val="18"/>
                <w:highlight w:val="none"/>
                <w:lang w:val="en-US" w:eastAsia="zh-CN"/>
              </w:rPr>
              <w:t>安全健康环保监察部</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Arial"/>
                <w:color w:val="000000"/>
                <w:sz w:val="18"/>
                <w:szCs w:val="18"/>
                <w:lang w:eastAsia="zh-CN"/>
              </w:rPr>
            </w:pPr>
            <w:r>
              <w:rPr>
                <w:rFonts w:hint="eastAsia" w:ascii="宋体" w:hAnsi="宋体" w:cs="Arial"/>
                <w:color w:val="000000"/>
                <w:sz w:val="18"/>
                <w:szCs w:val="18"/>
              </w:rPr>
              <w:t>3.</w:t>
            </w:r>
            <w:r>
              <w:rPr>
                <w:rFonts w:hint="eastAsia" w:ascii="宋体" w:hAnsi="宋体" w:cs="Arial"/>
                <w:color w:val="000000"/>
                <w:sz w:val="18"/>
                <w:szCs w:val="18"/>
                <w:lang w:val="en-US" w:eastAsia="zh-CN"/>
              </w:rPr>
              <w:t>7</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质保期内发生缺陷</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修后首次并网后6个月内发生缺陷，责任单位负责处理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每项扣100-10000元</w:t>
            </w: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4</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材料备品费用超支</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p>
        </w:tc>
        <w:tc>
          <w:tcPr>
            <w:tcW w:w="198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4.1</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材料备品计划提报有误用不上</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以</w:t>
            </w:r>
            <w:r>
              <w:rPr>
                <w:rFonts w:hint="eastAsia" w:ascii="宋体" w:hAnsi="宋体" w:cs="Arial"/>
                <w:color w:val="000000"/>
                <w:sz w:val="18"/>
                <w:szCs w:val="18"/>
              </w:rPr>
              <w:t>认定为准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宋体" w:hAnsi="宋体" w:eastAsia="宋体" w:cs="Arial"/>
                <w:color w:val="000000"/>
                <w:sz w:val="18"/>
                <w:szCs w:val="18"/>
                <w:lang w:val="en-US" w:eastAsia="zh-CN"/>
              </w:rPr>
            </w:pPr>
            <w:r>
              <w:rPr>
                <w:rFonts w:hint="eastAsia" w:ascii="宋体" w:hAnsi="宋体" w:cs="Arial"/>
                <w:color w:val="000000"/>
                <w:sz w:val="18"/>
                <w:szCs w:val="18"/>
              </w:rPr>
              <w:t>按原值20%扣</w:t>
            </w:r>
            <w:r>
              <w:rPr>
                <w:rFonts w:hint="eastAsia" w:ascii="宋体" w:hAnsi="宋体" w:cs="Arial"/>
                <w:color w:val="000000"/>
                <w:sz w:val="18"/>
                <w:szCs w:val="18"/>
                <w:lang w:val="en-US" w:eastAsia="zh-CN"/>
              </w:rPr>
              <w:t>或相应考核</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4.2</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材料、备品料单混乱与项目成本科目不符合</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以</w:t>
            </w:r>
            <w:r>
              <w:rPr>
                <w:rFonts w:hint="eastAsia" w:ascii="宋体" w:hAnsi="宋体" w:cs="Arial"/>
                <w:color w:val="000000"/>
                <w:sz w:val="18"/>
                <w:szCs w:val="18"/>
              </w:rPr>
              <w:t>认定为准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每项扣200元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4.3</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未经生产技术管理部门相关专业同意擅自更换备品</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以</w:t>
            </w:r>
            <w:r>
              <w:rPr>
                <w:rFonts w:hint="eastAsia" w:ascii="宋体" w:hAnsi="宋体" w:cs="Arial"/>
                <w:color w:val="000000"/>
                <w:sz w:val="18"/>
                <w:szCs w:val="18"/>
              </w:rPr>
              <w:t>认定为准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每项扣1000元</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4.4</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领用的材料备品保管不当或损坏</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lang w:val="en-US" w:eastAsia="zh-CN"/>
              </w:rPr>
              <w:t>以</w:t>
            </w:r>
            <w:r>
              <w:rPr>
                <w:rFonts w:hint="eastAsia" w:ascii="宋体" w:hAnsi="宋体" w:cs="Arial"/>
                <w:color w:val="000000"/>
                <w:sz w:val="18"/>
                <w:szCs w:val="18"/>
              </w:rPr>
              <w:t>认定为准</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责任单位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hint="default" w:ascii="宋体" w:hAnsi="宋体" w:eastAsia="宋体" w:cs="Arial"/>
                <w:color w:val="000000"/>
                <w:sz w:val="18"/>
                <w:szCs w:val="18"/>
                <w:lang w:val="en-US" w:eastAsia="zh-CN"/>
              </w:rPr>
            </w:pPr>
            <w:r>
              <w:rPr>
                <w:rFonts w:hint="eastAsia" w:ascii="宋体" w:hAnsi="宋体" w:cs="Arial"/>
                <w:color w:val="000000"/>
                <w:sz w:val="18"/>
                <w:szCs w:val="18"/>
              </w:rPr>
              <w:t>按原值20%扣</w:t>
            </w:r>
            <w:r>
              <w:rPr>
                <w:rFonts w:hint="eastAsia" w:ascii="宋体" w:hAnsi="宋体" w:cs="Arial"/>
                <w:color w:val="000000"/>
                <w:sz w:val="18"/>
                <w:szCs w:val="18"/>
                <w:lang w:val="en-US" w:eastAsia="zh-CN"/>
              </w:rPr>
              <w:t>或相应考核</w:t>
            </w:r>
          </w:p>
        </w:tc>
        <w:tc>
          <w:tcPr>
            <w:tcW w:w="1983" w:type="dxa"/>
            <w:tcBorders>
              <w:top w:val="single" w:color="auto" w:sz="4" w:space="0"/>
              <w:left w:val="nil"/>
              <w:bottom w:val="single" w:color="auto" w:sz="4" w:space="0"/>
              <w:right w:val="single" w:color="auto" w:sz="4" w:space="0"/>
            </w:tcBorders>
            <w:noWrap w:val="0"/>
            <w:vAlign w:val="top"/>
          </w:tcPr>
          <w:p>
            <w:pPr>
              <w:jc w:val="center"/>
              <w:rPr>
                <w:rFonts w:ascii="宋体" w:hAnsi="宋体"/>
                <w:color w:val="000000"/>
                <w:sz w:val="18"/>
                <w:szCs w:val="18"/>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r>
        <w:tblPrEx>
          <w:tblCellMar>
            <w:top w:w="0" w:type="dxa"/>
            <w:left w:w="108" w:type="dxa"/>
            <w:bottom w:w="0" w:type="dxa"/>
            <w:right w:w="108" w:type="dxa"/>
          </w:tblCellMar>
        </w:tblPrEx>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Arial"/>
                <w:color w:val="000000"/>
                <w:sz w:val="18"/>
                <w:szCs w:val="18"/>
              </w:rPr>
            </w:pPr>
            <w:r>
              <w:rPr>
                <w:rFonts w:hint="eastAsia" w:ascii="宋体" w:hAnsi="宋体" w:cs="Arial"/>
                <w:color w:val="000000"/>
                <w:sz w:val="18"/>
                <w:szCs w:val="18"/>
              </w:rPr>
              <w:t>4.5</w:t>
            </w:r>
          </w:p>
        </w:tc>
        <w:tc>
          <w:tcPr>
            <w:tcW w:w="304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资料整理及移交</w:t>
            </w:r>
          </w:p>
        </w:tc>
        <w:tc>
          <w:tcPr>
            <w:tcW w:w="3288"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按</w:t>
            </w:r>
            <w:r>
              <w:rPr>
                <w:rFonts w:hint="eastAsia" w:ascii="宋体" w:hAnsi="宋体" w:cs="Arial"/>
                <w:color w:val="000000"/>
                <w:sz w:val="18"/>
                <w:szCs w:val="18"/>
                <w:lang w:val="en-US" w:eastAsia="zh-CN"/>
              </w:rPr>
              <w:t>时、标准、按合同</w:t>
            </w:r>
          </w:p>
        </w:tc>
        <w:tc>
          <w:tcPr>
            <w:tcW w:w="2736"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检修单位</w:t>
            </w:r>
          </w:p>
        </w:tc>
        <w:tc>
          <w:tcPr>
            <w:tcW w:w="2014"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Arial"/>
                <w:color w:val="000000"/>
                <w:sz w:val="18"/>
                <w:szCs w:val="18"/>
              </w:rPr>
            </w:pPr>
            <w:r>
              <w:rPr>
                <w:rFonts w:hint="eastAsia" w:ascii="宋体" w:hAnsi="宋体" w:cs="Arial"/>
                <w:color w:val="000000"/>
                <w:sz w:val="18"/>
                <w:szCs w:val="18"/>
              </w:rPr>
              <w:t>未交检修资料，考核2万元，同时可拒绝支付保证金；推迟交付，考核500元/天。</w:t>
            </w:r>
          </w:p>
        </w:tc>
        <w:tc>
          <w:tcPr>
            <w:tcW w:w="1983" w:type="dxa"/>
            <w:tcBorders>
              <w:top w:val="single" w:color="auto" w:sz="4" w:space="0"/>
              <w:left w:val="nil"/>
              <w:bottom w:val="single" w:color="auto" w:sz="4" w:space="0"/>
              <w:right w:val="single" w:color="auto" w:sz="4" w:space="0"/>
            </w:tcBorders>
            <w:noWrap w:val="0"/>
            <w:vAlign w:val="top"/>
          </w:tcPr>
          <w:p>
            <w:pPr>
              <w:jc w:val="center"/>
              <w:rPr>
                <w:rFonts w:hint="default" w:ascii="宋体" w:hAnsi="宋体" w:eastAsia="宋体" w:cs="Arial"/>
                <w:color w:val="000000"/>
                <w:sz w:val="18"/>
                <w:szCs w:val="18"/>
                <w:lang w:val="en-US" w:eastAsia="zh-CN"/>
              </w:rPr>
            </w:pPr>
            <w:r>
              <w:rPr>
                <w:rFonts w:hint="eastAsia" w:ascii="宋体" w:hAnsi="宋体" w:cs="Arial"/>
                <w:color w:val="000000"/>
                <w:sz w:val="18"/>
                <w:szCs w:val="18"/>
              </w:rPr>
              <w:t>生产技术部</w:t>
            </w:r>
            <w:r>
              <w:rPr>
                <w:rFonts w:hint="eastAsia" w:ascii="宋体" w:hAnsi="宋体" w:cs="Arial"/>
                <w:color w:val="000000"/>
                <w:sz w:val="18"/>
                <w:szCs w:val="18"/>
                <w:lang w:eastAsia="zh-CN"/>
              </w:rPr>
              <w:t>、</w:t>
            </w:r>
            <w:r>
              <w:rPr>
                <w:rFonts w:hint="eastAsia" w:ascii="宋体" w:hAnsi="宋体" w:cs="Arial"/>
                <w:color w:val="000000"/>
                <w:sz w:val="18"/>
                <w:szCs w:val="18"/>
                <w:lang w:val="en-US" w:eastAsia="zh-CN"/>
              </w:rPr>
              <w:t>各专业组</w:t>
            </w:r>
          </w:p>
        </w:tc>
      </w:tr>
    </w:tbl>
    <w:p>
      <w:pPr>
        <w:spacing w:before="156" w:beforeLines="50" w:after="156" w:afterLines="50"/>
        <w:outlineLvl w:val="0"/>
        <w:rPr>
          <w:rFonts w:hint="eastAsia" w:ascii="仿宋_GB2312" w:hAnsi="宋体" w:eastAsia="仿宋_GB2312"/>
          <w:b/>
          <w:sz w:val="24"/>
          <w:szCs w:val="24"/>
        </w:rPr>
      </w:pPr>
      <w:r>
        <w:rPr>
          <w:rFonts w:hint="eastAsia"/>
          <w:lang w:val="en-US" w:eastAsia="zh-CN"/>
        </w:rPr>
        <w:t>注：上表考核若与技术协议（规范书）专项考核条款不一致，则以专项考核条款为准。</w:t>
      </w:r>
      <w:r>
        <w:rPr>
          <w:sz w:val="24"/>
          <w:szCs w:val="24"/>
        </w:rPr>
        <w:br w:type="page"/>
      </w:r>
      <w:bookmarkStart w:id="23" w:name="_Toc6143_WPSOffice_Level1"/>
      <w:bookmarkStart w:id="24" w:name="_Toc17966"/>
      <w:bookmarkStart w:id="25" w:name="_Toc10642"/>
      <w:bookmarkStart w:id="26" w:name="_Toc22539_WPSOffice_Level1"/>
      <w:bookmarkStart w:id="27" w:name="_Toc864587"/>
      <w:r>
        <w:rPr>
          <w:rFonts w:hint="eastAsia" w:ascii="宋体" w:hAnsi="宋体" w:cs="宋体"/>
          <w:bCs/>
          <w:kern w:val="0"/>
          <w:sz w:val="24"/>
          <w:szCs w:val="24"/>
        </w:rPr>
        <w:t>附件</w:t>
      </w:r>
      <w:r>
        <w:rPr>
          <w:rFonts w:hint="eastAsia" w:ascii="宋体" w:hAnsi="宋体" w:cs="宋体"/>
          <w:bCs/>
          <w:kern w:val="0"/>
          <w:sz w:val="24"/>
          <w:szCs w:val="24"/>
          <w:lang w:val="en-US" w:eastAsia="zh-CN"/>
        </w:rPr>
        <w:t>4：</w:t>
      </w:r>
      <w:r>
        <w:rPr>
          <w:rFonts w:hint="eastAsia" w:ascii="宋体" w:hAnsi="宋体" w:cs="宋体"/>
          <w:bCs/>
          <w:kern w:val="0"/>
          <w:sz w:val="24"/>
          <w:szCs w:val="24"/>
          <w:lang w:eastAsia="zh-CN"/>
        </w:rPr>
        <w:t>检修安全健康环保</w:t>
      </w:r>
      <w:r>
        <w:rPr>
          <w:rFonts w:hint="eastAsia" w:ascii="宋体" w:hAnsi="宋体" w:cs="宋体"/>
          <w:bCs/>
          <w:kern w:val="0"/>
          <w:sz w:val="24"/>
          <w:szCs w:val="24"/>
        </w:rPr>
        <w:t>考核实施细则</w:t>
      </w:r>
      <w:bookmarkEnd w:id="23"/>
      <w:bookmarkEnd w:id="24"/>
      <w:bookmarkEnd w:id="25"/>
      <w:bookmarkEnd w:id="26"/>
      <w:bookmarkEnd w:id="27"/>
    </w:p>
    <w:p>
      <w:pPr>
        <w:spacing w:before="156" w:beforeLines="50" w:after="156" w:afterLines="50"/>
        <w:ind w:firstLine="3596" w:firstLineChars="995"/>
        <w:rPr>
          <w:rFonts w:hint="eastAsia" w:ascii="宋体" w:hAnsi="宋体"/>
          <w:b/>
          <w:color w:val="000000"/>
          <w:sz w:val="36"/>
          <w:szCs w:val="36"/>
        </w:rPr>
      </w:pPr>
      <w:r>
        <w:rPr>
          <w:rFonts w:hint="eastAsia" w:ascii="宋体" w:hAnsi="宋体"/>
          <w:b/>
          <w:color w:val="000000"/>
          <w:sz w:val="36"/>
          <w:szCs w:val="36"/>
        </w:rPr>
        <w:t>检修</w:t>
      </w:r>
      <w:r>
        <w:rPr>
          <w:rFonts w:hint="eastAsia" w:ascii="宋体" w:hAnsi="宋体"/>
          <w:b/>
          <w:color w:val="000000"/>
          <w:sz w:val="36"/>
          <w:szCs w:val="36"/>
          <w:lang w:val="en-US" w:eastAsia="zh-CN"/>
        </w:rPr>
        <w:t>安全健康环保</w:t>
      </w:r>
      <w:r>
        <w:rPr>
          <w:rFonts w:hint="eastAsia" w:ascii="宋体" w:hAnsi="宋体"/>
          <w:b/>
          <w:color w:val="000000"/>
          <w:sz w:val="36"/>
          <w:szCs w:val="36"/>
        </w:rPr>
        <w:t>考核实施细则</w:t>
      </w:r>
    </w:p>
    <w:tbl>
      <w:tblPr>
        <w:tblStyle w:val="11"/>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4110"/>
        <w:gridCol w:w="3420"/>
        <w:gridCol w:w="1620"/>
        <w:gridCol w:w="216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noWrap w:val="0"/>
            <w:vAlign w:val="center"/>
          </w:tcPr>
          <w:p>
            <w:pPr>
              <w:jc w:val="center"/>
              <w:rPr>
                <w:rFonts w:ascii="宋体" w:hAnsi="宋体" w:cs="宋体"/>
                <w:b/>
                <w:bCs/>
                <w:sz w:val="22"/>
                <w:szCs w:val="22"/>
              </w:rPr>
            </w:pPr>
            <w:r>
              <w:rPr>
                <w:rFonts w:hint="eastAsia"/>
                <w:b/>
                <w:bCs/>
                <w:sz w:val="22"/>
                <w:szCs w:val="22"/>
              </w:rPr>
              <w:t>序号</w:t>
            </w:r>
          </w:p>
        </w:tc>
        <w:tc>
          <w:tcPr>
            <w:tcW w:w="4110" w:type="dxa"/>
            <w:noWrap w:val="0"/>
            <w:vAlign w:val="center"/>
          </w:tcPr>
          <w:p>
            <w:pPr>
              <w:jc w:val="center"/>
              <w:rPr>
                <w:rFonts w:ascii="宋体" w:hAnsi="宋体" w:cs="宋体"/>
                <w:b/>
                <w:bCs/>
                <w:sz w:val="22"/>
                <w:szCs w:val="22"/>
              </w:rPr>
            </w:pPr>
            <w:r>
              <w:rPr>
                <w:rFonts w:hint="eastAsia"/>
                <w:b/>
                <w:bCs/>
                <w:sz w:val="22"/>
                <w:szCs w:val="22"/>
              </w:rPr>
              <w:t>考核内容</w:t>
            </w:r>
          </w:p>
        </w:tc>
        <w:tc>
          <w:tcPr>
            <w:tcW w:w="3420" w:type="dxa"/>
            <w:noWrap w:val="0"/>
            <w:vAlign w:val="center"/>
          </w:tcPr>
          <w:p>
            <w:pPr>
              <w:jc w:val="center"/>
              <w:rPr>
                <w:rFonts w:ascii="宋体" w:hAnsi="宋体" w:cs="宋体"/>
                <w:b/>
                <w:bCs/>
                <w:sz w:val="22"/>
                <w:szCs w:val="22"/>
              </w:rPr>
            </w:pPr>
            <w:r>
              <w:rPr>
                <w:rFonts w:hint="eastAsia"/>
                <w:b/>
                <w:bCs/>
                <w:sz w:val="22"/>
                <w:szCs w:val="22"/>
              </w:rPr>
              <w:t>考核标准</w:t>
            </w:r>
          </w:p>
        </w:tc>
        <w:tc>
          <w:tcPr>
            <w:tcW w:w="1620" w:type="dxa"/>
            <w:noWrap w:val="0"/>
            <w:vAlign w:val="center"/>
          </w:tcPr>
          <w:p>
            <w:pPr>
              <w:jc w:val="center"/>
              <w:rPr>
                <w:rFonts w:ascii="宋体" w:hAnsi="宋体" w:cs="宋体"/>
                <w:b/>
                <w:bCs/>
                <w:sz w:val="22"/>
                <w:szCs w:val="22"/>
              </w:rPr>
            </w:pPr>
            <w:r>
              <w:rPr>
                <w:rFonts w:hint="eastAsia"/>
                <w:b/>
                <w:bCs/>
                <w:sz w:val="22"/>
                <w:szCs w:val="22"/>
              </w:rPr>
              <w:t>被考核部门</w:t>
            </w:r>
          </w:p>
        </w:tc>
        <w:tc>
          <w:tcPr>
            <w:tcW w:w="2160" w:type="dxa"/>
            <w:noWrap w:val="0"/>
            <w:vAlign w:val="center"/>
          </w:tcPr>
          <w:p>
            <w:pPr>
              <w:jc w:val="center"/>
              <w:rPr>
                <w:rFonts w:ascii="宋体" w:hAnsi="宋体" w:cs="宋体"/>
                <w:b/>
                <w:bCs/>
                <w:sz w:val="22"/>
                <w:szCs w:val="22"/>
              </w:rPr>
            </w:pPr>
            <w:r>
              <w:rPr>
                <w:rFonts w:hint="eastAsia"/>
                <w:b/>
                <w:bCs/>
                <w:sz w:val="22"/>
                <w:szCs w:val="22"/>
              </w:rPr>
              <w:t>考核金额</w:t>
            </w:r>
          </w:p>
        </w:tc>
        <w:tc>
          <w:tcPr>
            <w:tcW w:w="1200" w:type="dxa"/>
            <w:noWrap w:val="0"/>
            <w:vAlign w:val="center"/>
          </w:tcPr>
          <w:p>
            <w:pPr>
              <w:jc w:val="center"/>
              <w:rPr>
                <w:rFonts w:ascii="宋体" w:hAnsi="宋体" w:cs="宋体"/>
                <w:b/>
                <w:bCs/>
                <w:sz w:val="22"/>
                <w:szCs w:val="22"/>
              </w:rPr>
            </w:pPr>
            <w:r>
              <w:rPr>
                <w:rFonts w:hint="eastAsia"/>
                <w:b/>
                <w:bCs/>
                <w:sz w:val="22"/>
                <w:szCs w:val="22"/>
              </w:rPr>
              <w:t>考核部门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b/>
                <w:bCs/>
                <w:kern w:val="0"/>
                <w:sz w:val="22"/>
                <w:szCs w:val="22"/>
              </w:rPr>
            </w:pPr>
            <w:r>
              <w:rPr>
                <w:rFonts w:hint="eastAsia" w:ascii="宋体" w:hAnsi="宋体" w:cs="宋体"/>
                <w:b/>
                <w:bCs/>
                <w:kern w:val="0"/>
                <w:sz w:val="22"/>
                <w:szCs w:val="22"/>
              </w:rPr>
              <w:t>检修准备工作</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　</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　</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　</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1.1</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未按期完成检修中使用的专用工具、安全工器具等的准备，做到数量齐全，并经检验（检查）合格</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生技部编制检查性大修技术规范要求，检查记录</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设备维修部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每延迟一天，</w:t>
            </w:r>
            <w:r>
              <w:rPr>
                <w:rFonts w:hint="eastAsia" w:ascii="宋体" w:hAnsi="宋体" w:cs="宋体"/>
                <w:kern w:val="0"/>
                <w:sz w:val="22"/>
                <w:szCs w:val="22"/>
                <w:lang w:val="en-US" w:eastAsia="zh-CN"/>
              </w:rPr>
              <w:t>200</w:t>
            </w:r>
            <w:r>
              <w:rPr>
                <w:rFonts w:hint="eastAsia" w:ascii="宋体" w:hAnsi="宋体" w:cs="宋体"/>
                <w:kern w:val="0"/>
                <w:sz w:val="22"/>
                <w:szCs w:val="22"/>
              </w:rPr>
              <w:t>元/项</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1.2</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未按期完成检修中使用的标准检验、测量仪器的准备，做到数量齐全，保证符合相关技术规定</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生技部编制检查性大修技术规范要求，检查记录</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设备维修部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每延迟一天，</w:t>
            </w:r>
            <w:r>
              <w:rPr>
                <w:rFonts w:hint="eastAsia" w:ascii="宋体" w:hAnsi="宋体" w:cs="宋体"/>
                <w:kern w:val="0"/>
                <w:sz w:val="22"/>
                <w:szCs w:val="22"/>
                <w:lang w:val="en-US" w:eastAsia="zh-CN"/>
              </w:rPr>
              <w:t>200</w:t>
            </w:r>
            <w:r>
              <w:rPr>
                <w:rFonts w:hint="eastAsia" w:ascii="宋体" w:hAnsi="宋体" w:cs="宋体"/>
                <w:kern w:val="0"/>
                <w:sz w:val="22"/>
                <w:szCs w:val="22"/>
              </w:rPr>
              <w:t>元/项</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生技部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1.3</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未按期完成对外包工程单位人员的安全教育和《电业安全工作规程》考试的检查工作并备案</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安规要求</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设备维修部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每延迟一天，200元/项</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1.4</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未确认与承接工作相适应的工作票签发人、负责人名单</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安规要求</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设备维修部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每延迟一天，200元/项</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1.5</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未按期对特殊工种人员的资格进行确认</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安规要求</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设备维修部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1.6</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对危险性大的作业，未制定专项施工组织、安全措施</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以交生技部并批准的为准</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设备维修部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300元/项</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1.7</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重大项目无技术、安全措施</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以交生技部并批准的为准</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设备维修部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300元/项</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1.8</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未向外检修委队伍的相关人员进行安全、技术交底</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生技部编制检查性大修技术规范要求，检查记录</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生技部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每延迟一天，</w:t>
            </w:r>
            <w:r>
              <w:rPr>
                <w:rFonts w:hint="eastAsia" w:ascii="宋体" w:hAnsi="宋体" w:cs="宋体"/>
                <w:kern w:val="0"/>
                <w:sz w:val="22"/>
                <w:szCs w:val="22"/>
                <w:lang w:val="en-US" w:eastAsia="zh-CN"/>
              </w:rPr>
              <w:t>200</w:t>
            </w:r>
            <w:r>
              <w:rPr>
                <w:rFonts w:hint="eastAsia" w:ascii="宋体" w:hAnsi="宋体" w:cs="宋体"/>
                <w:kern w:val="0"/>
                <w:sz w:val="22"/>
                <w:szCs w:val="22"/>
              </w:rPr>
              <w:t>元/项</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xml:space="preserve">1.9 </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b/>
                <w:bCs/>
                <w:kern w:val="0"/>
                <w:sz w:val="22"/>
                <w:szCs w:val="22"/>
              </w:rPr>
            </w:pPr>
            <w:r>
              <w:rPr>
                <w:rFonts w:hint="eastAsia" w:ascii="宋体" w:hAnsi="宋体" w:cs="宋体"/>
                <w:b/>
                <w:bCs/>
                <w:kern w:val="0"/>
                <w:sz w:val="22"/>
                <w:szCs w:val="22"/>
              </w:rPr>
              <w:t>检修工作的实施</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　</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1.9．1</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重大项目无技术措施或有措施不落实</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以交生技部并批准的为准</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检修责任单位</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300元/项</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1.9．2</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设备发生异动无手续或手续不全</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以交生技部并批准的为准</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检修责任单位</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200元/项</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b/>
                <w:bCs/>
                <w:kern w:val="0"/>
                <w:sz w:val="22"/>
                <w:szCs w:val="22"/>
                <w:lang w:eastAsia="zh-CN"/>
              </w:rPr>
            </w:pPr>
            <w:r>
              <w:rPr>
                <w:rFonts w:hint="eastAsia" w:ascii="宋体" w:hAnsi="宋体" w:cs="宋体"/>
                <w:b/>
                <w:bCs/>
                <w:kern w:val="0"/>
                <w:sz w:val="22"/>
                <w:szCs w:val="22"/>
              </w:rPr>
              <w:t>安全文明</w:t>
            </w:r>
            <w:r>
              <w:rPr>
                <w:rFonts w:hint="eastAsia" w:ascii="宋体" w:hAnsi="宋体" w:cs="宋体"/>
                <w:b/>
                <w:bCs/>
                <w:kern w:val="0"/>
                <w:sz w:val="22"/>
                <w:szCs w:val="22"/>
                <w:lang w:eastAsia="zh-CN"/>
              </w:rPr>
              <w:t>及职业卫生</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　</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2．1</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无票作业</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现场验证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检修责任单位</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500元/次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工作票办理不及时</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以安健环部检查等为准</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检修责任单位</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元/份</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工作票措施不全</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以安健环部检查等为准</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检修责任单位</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元/份</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2．4</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“两票”不合格、或全过程执行不符合标准</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检查工作票和现场监督</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2．5</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工作票终结不及时</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以安健环部检查等为准</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检修责任单位</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元/份</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xml:space="preserve">2．6 </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系统隔离或试转时出现操作问题</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以生技部或安健环部检查等为准</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运行部门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2．7</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在未办理试转手续的情况下试转设备</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以生技部或安健环部检查等为准</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检修责任单位</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500元/次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2．8</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发生火警</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500元/次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2．9</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工作负责人</w:t>
            </w:r>
            <w:r>
              <w:rPr>
                <w:rFonts w:hint="eastAsia" w:ascii="宋体" w:hAnsi="宋体" w:cs="宋体"/>
                <w:kern w:val="0"/>
                <w:sz w:val="22"/>
                <w:szCs w:val="22"/>
                <w:lang w:eastAsia="zh-CN"/>
              </w:rPr>
              <w:t>、</w:t>
            </w:r>
            <w:r>
              <w:rPr>
                <w:rFonts w:hint="eastAsia" w:ascii="宋体" w:hAnsi="宋体" w:cs="宋体"/>
                <w:kern w:val="0"/>
                <w:sz w:val="22"/>
                <w:szCs w:val="22"/>
                <w:lang w:val="en-US" w:eastAsia="zh-CN"/>
              </w:rPr>
              <w:t>安全员</w:t>
            </w:r>
            <w:r>
              <w:rPr>
                <w:rFonts w:hint="eastAsia" w:ascii="宋体" w:hAnsi="宋体" w:cs="宋体"/>
                <w:kern w:val="0"/>
                <w:sz w:val="22"/>
                <w:szCs w:val="22"/>
              </w:rPr>
              <w:t>进入作业现场不佩戴袖标</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检修责任单位</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元/人次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2．10</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发生违章（指挥、作业、装置、管理）现象和行为</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规程和上级、公司有关规定为准</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200元/人次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2．11</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现场不戴安全帽、不系紧安全帽带</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snapToGrid w:val="0"/>
                <w:color w:val="000000"/>
                <w:kern w:val="0"/>
                <w:szCs w:val="21"/>
              </w:rPr>
              <w:t>在高处作业、受限空间作业或重要特殊场所作业不戴安全帽考核</w:t>
            </w:r>
            <w:r>
              <w:rPr>
                <w:rFonts w:hint="eastAsia" w:ascii="宋体" w:hAnsi="宋体"/>
                <w:snapToGrid w:val="0"/>
                <w:color w:val="000000"/>
                <w:kern w:val="0"/>
                <w:szCs w:val="21"/>
                <w:lang w:eastAsia="zh-CN"/>
              </w:rPr>
              <w:t>相关责任人</w:t>
            </w:r>
            <w:r>
              <w:rPr>
                <w:rFonts w:hint="eastAsia" w:ascii="宋体" w:hAnsi="宋体"/>
                <w:snapToGrid w:val="0"/>
                <w:color w:val="000000"/>
                <w:kern w:val="0"/>
                <w:szCs w:val="21"/>
              </w:rPr>
              <w:t>500元，</w:t>
            </w:r>
            <w:r>
              <w:rPr>
                <w:rFonts w:hint="eastAsia" w:ascii="宋体" w:hAnsi="宋体"/>
                <w:snapToGrid w:val="0"/>
                <w:color w:val="000000"/>
                <w:kern w:val="0"/>
                <w:szCs w:val="21"/>
                <w:lang w:eastAsia="zh-CN"/>
              </w:rPr>
              <w:t>考核责任部门负责人和分管负责人</w:t>
            </w:r>
            <w:r>
              <w:rPr>
                <w:rFonts w:hint="eastAsia" w:ascii="宋体" w:hAnsi="宋体"/>
                <w:snapToGrid w:val="0"/>
                <w:color w:val="000000"/>
                <w:kern w:val="0"/>
                <w:szCs w:val="21"/>
                <w:lang w:val="en-US" w:eastAsia="zh-CN"/>
              </w:rPr>
              <w:t>200</w:t>
            </w:r>
            <w:r>
              <w:rPr>
                <w:rFonts w:hint="eastAsia" w:ascii="宋体" w:hAnsi="宋体"/>
                <w:snapToGrid w:val="0"/>
                <w:kern w:val="0"/>
                <w:szCs w:val="21"/>
              </w:rPr>
              <w:t>-</w:t>
            </w:r>
            <w:r>
              <w:rPr>
                <w:rFonts w:hint="eastAsia" w:ascii="宋体" w:hAnsi="宋体"/>
                <w:snapToGrid w:val="0"/>
                <w:kern w:val="0"/>
                <w:szCs w:val="21"/>
                <w:lang w:val="en-US" w:eastAsia="zh-CN"/>
              </w:rPr>
              <w:t>300元；</w:t>
            </w:r>
            <w:r>
              <w:rPr>
                <w:rFonts w:hint="eastAsia" w:ascii="宋体" w:hAnsi="宋体"/>
                <w:snapToGrid w:val="0"/>
                <w:color w:val="000000"/>
                <w:kern w:val="0"/>
                <w:szCs w:val="21"/>
              </w:rPr>
              <w:t>在其他生产现场作业不戴安全帽考核</w:t>
            </w:r>
            <w:r>
              <w:rPr>
                <w:rFonts w:hint="eastAsia" w:ascii="宋体" w:hAnsi="宋体"/>
                <w:snapToGrid w:val="0"/>
                <w:color w:val="000000"/>
                <w:kern w:val="0"/>
                <w:szCs w:val="21"/>
                <w:lang w:eastAsia="zh-CN"/>
              </w:rPr>
              <w:t>相关责任人</w:t>
            </w:r>
            <w:r>
              <w:rPr>
                <w:rFonts w:hint="eastAsia" w:ascii="宋体" w:hAnsi="宋体"/>
                <w:snapToGrid w:val="0"/>
                <w:color w:val="000000"/>
                <w:kern w:val="0"/>
                <w:szCs w:val="21"/>
                <w:lang w:val="en-US" w:eastAsia="zh-CN"/>
              </w:rPr>
              <w:t>3</w:t>
            </w:r>
            <w:r>
              <w:rPr>
                <w:rFonts w:hint="eastAsia" w:ascii="宋体" w:hAnsi="宋体"/>
                <w:snapToGrid w:val="0"/>
                <w:color w:val="000000"/>
                <w:kern w:val="0"/>
                <w:szCs w:val="21"/>
              </w:rPr>
              <w:t>00元；上班期间（上下班途中除外）在主厂房周围、脱硫除灰化水输煤区域机动车通道行走不戴安全帽考核</w:t>
            </w:r>
            <w:r>
              <w:rPr>
                <w:rFonts w:hint="eastAsia" w:ascii="宋体" w:hAnsi="宋体"/>
                <w:snapToGrid w:val="0"/>
                <w:color w:val="000000"/>
                <w:kern w:val="0"/>
                <w:szCs w:val="21"/>
                <w:lang w:val="en-US" w:eastAsia="zh-CN"/>
              </w:rPr>
              <w:t>2</w:t>
            </w:r>
            <w:r>
              <w:rPr>
                <w:rFonts w:hint="eastAsia" w:ascii="宋体" w:hAnsi="宋体"/>
                <w:snapToGrid w:val="0"/>
                <w:color w:val="000000"/>
                <w:kern w:val="0"/>
                <w:szCs w:val="21"/>
              </w:rPr>
              <w:t>00元。不正确佩戴安全帽按上述标准减半考核</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2．12</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未按规定穿工作服和佩戴劳保用品</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现场验证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200-500</w:t>
            </w:r>
            <w:r>
              <w:rPr>
                <w:rFonts w:hint="eastAsia" w:ascii="宋体" w:hAnsi="宋体" w:cs="宋体"/>
                <w:kern w:val="0"/>
                <w:sz w:val="22"/>
                <w:szCs w:val="22"/>
              </w:rPr>
              <w:t>元/人次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2．13</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穿高跟鞋、短衣、裙子、长头发未盘在帽内等进入现场</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300元/人次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2．14</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登高作业未按规定使用安全带、安全绳</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现场验证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500-1000</w:t>
            </w:r>
            <w:r>
              <w:rPr>
                <w:rFonts w:hint="eastAsia" w:ascii="宋体" w:hAnsi="宋体" w:cs="宋体"/>
                <w:kern w:val="0"/>
                <w:sz w:val="22"/>
                <w:szCs w:val="22"/>
              </w:rPr>
              <w:t>元/人次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2．15</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高空作业携带工具未使用工具袋，高空抛掷物品</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200元/人次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2．16</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搭设的脚手架不合格或使用未验收合格脚手架</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500</w:t>
            </w:r>
            <w:r>
              <w:rPr>
                <w:rFonts w:hint="eastAsia" w:ascii="宋体" w:hAnsi="宋体" w:cs="宋体"/>
                <w:kern w:val="0"/>
                <w:sz w:val="22"/>
                <w:szCs w:val="22"/>
              </w:rPr>
              <w:t>元/人次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xml:space="preserve">2．17 </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使用不合格的登高器具、架台、起重设施、电动工器具</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现场验证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200元/人次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2．18</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有落物、坠落的危险作业区域，未设置安全围栏和明显警示标志，无专人监护</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2．19</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高空电焊、切割作业的下方没有防止焊渣、边料坠落伤人或引起火警的隔离措施</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w:t>
            </w:r>
            <w:r>
              <w:rPr>
                <w:rFonts w:hint="eastAsia" w:ascii="宋体" w:hAnsi="宋体" w:cs="宋体"/>
                <w:kern w:val="0"/>
                <w:sz w:val="22"/>
                <w:szCs w:val="22"/>
                <w:lang w:val="en-US" w:eastAsia="zh-CN"/>
              </w:rPr>
              <w:t>转移、</w:t>
            </w:r>
            <w:r>
              <w:rPr>
                <w:rFonts w:hint="eastAsia" w:ascii="宋体" w:hAnsi="宋体" w:cs="宋体"/>
                <w:kern w:val="0"/>
                <w:sz w:val="22"/>
                <w:szCs w:val="22"/>
              </w:rPr>
              <w:t>使用、存放的氧气、乙炔瓶不符合安规要求</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2.20</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检修电源和现场照明电源没有漏电保护器；在金属容器内和潮湿的场所使用的照明不是安全电压</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200元/人次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2．21</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违反有限空间、登高、用电、焊接等高危作业规定以及</w:t>
            </w:r>
            <w:r>
              <w:rPr>
                <w:rFonts w:hint="eastAsia" w:ascii="宋体" w:hAnsi="宋体" w:cs="宋体"/>
                <w:kern w:val="0"/>
                <w:sz w:val="22"/>
                <w:szCs w:val="22"/>
              </w:rPr>
              <w:t>没有特种作业资质证人员进行特种作业</w:t>
            </w:r>
            <w:r>
              <w:rPr>
                <w:rFonts w:hint="eastAsia" w:ascii="宋体" w:hAnsi="宋体" w:cs="宋体"/>
                <w:kern w:val="0"/>
                <w:sz w:val="22"/>
                <w:szCs w:val="22"/>
                <w:lang w:val="en-US" w:eastAsia="zh-CN"/>
              </w:rPr>
              <w:t>或操作特种设备</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200-1000</w:t>
            </w:r>
            <w:r>
              <w:rPr>
                <w:rFonts w:hint="eastAsia" w:ascii="宋体" w:hAnsi="宋体" w:cs="宋体"/>
                <w:kern w:val="0"/>
                <w:sz w:val="22"/>
                <w:szCs w:val="22"/>
              </w:rPr>
              <w:t>元/人次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2．22</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起重作业违章</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现场验证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200-500</w:t>
            </w:r>
            <w:r>
              <w:rPr>
                <w:rFonts w:hint="eastAsia" w:ascii="宋体" w:hAnsi="宋体" w:cs="宋体"/>
                <w:kern w:val="0"/>
                <w:sz w:val="22"/>
                <w:szCs w:val="22"/>
              </w:rPr>
              <w:t>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2．23</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擅自拆除、开挖地面，或不按规定设标志、围拦</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现场验证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2．24</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拆除的孔洞盖板、栏杆、隔离层等未及时恢复</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现场验证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2．25</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从事电、火焊作业、使用电动砂轮机具，未按规定使用防护用品</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现场验证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2．26</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车辆违章驾驶</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2．27</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外包施工、临时工作业无人监护或监护不到位</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2．28</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外包施工队伍未签订安全协议、未进行安全教育擅自批准开工</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检查手续</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500元/次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2．29</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未按要求进行班组安全活动</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检查记录</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2．30</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班前会未做安全注意事项交底或班组的工作日志中未体现对外包单位安全交底的完整记录</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检查记录</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2．31</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安全专项活动查出的装置违章、隐患、缺陷应消除而未消除的</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现场验证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2．32</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重大项目无安全措施或有措施不落实</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2．33</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没有办批准手续而随意变更安全技术措施</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2．34</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设备、零部件拆卸摆放不整齐或未采取有效防护措施</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2．35</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检修现场脏、乱、差</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2．36</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乱拉乱接电线</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2．37</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损坏地面隔离层、瓷砖等</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2．38</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管口未按要求封堵；裸露线头不包扎</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2．39</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禁烟区域吸烟、乱扔烟头等</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2．40</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施工剩余的废料、垃圾不按指定地点分类存放；乱倒废油、废液</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200-500元/次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2．41</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拆包保温未按要求进行，污染现场</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-500元/次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rPr>
              <w:t>2．42</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管道铁皮拆开后未按顺序竖直摆放或折损变形</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2．43</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电气设备绝缘件被踏踩</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2．44</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各标志、电缆牌、端子牌不规范</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2．45</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电缆、管道敷设布置不规范，标志不齐全</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2．46</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拆保温未洒水和装袋，高层保温步道上未铺垫，造成飞尘污染</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2．47</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乱砸乱拆保温或损伤抹面、敷层</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2．48</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作业、施工现场达不到工完料净场地清</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200</w:t>
            </w:r>
            <w:r>
              <w:rPr>
                <w:rFonts w:hint="eastAsia" w:ascii="宋体" w:hAnsi="宋体" w:cs="宋体"/>
                <w:kern w:val="0"/>
                <w:sz w:val="22"/>
                <w:szCs w:val="22"/>
              </w:rPr>
              <w:t>元/处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cs="宋体"/>
                <w:b/>
                <w:bCs/>
                <w:kern w:val="0"/>
                <w:sz w:val="22"/>
                <w:szCs w:val="22"/>
                <w:lang w:val="en-US" w:eastAsia="zh-CN"/>
              </w:rPr>
              <w:t>2.49</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lang w:eastAsia="zh-CN"/>
              </w:rPr>
              <w:t>拆除的安全防范措施（平台、栏杆、格栅板、吊装孔等）没有及时申请许可就拆除；拆除无临时安全措施、拆除后未按计划、安全要求进行恢复；验收确认不认真。</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kern w:val="0"/>
                <w:sz w:val="22"/>
                <w:szCs w:val="22"/>
              </w:rPr>
            </w:pPr>
            <w:r>
              <w:rPr>
                <w:rFonts w:hint="eastAsia" w:ascii="宋体" w:hAnsi="宋体" w:cs="宋体"/>
                <w:color w:val="auto"/>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200-500</w:t>
            </w:r>
            <w:r>
              <w:rPr>
                <w:rFonts w:hint="eastAsia" w:ascii="宋体" w:hAnsi="宋体" w:cs="宋体"/>
                <w:color w:val="auto"/>
                <w:kern w:val="0"/>
                <w:sz w:val="22"/>
                <w:szCs w:val="22"/>
              </w:rPr>
              <w:t>元/处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kern w:val="0"/>
                <w:sz w:val="22"/>
                <w:szCs w:val="22"/>
              </w:rPr>
            </w:pPr>
            <w:r>
              <w:rPr>
                <w:rFonts w:hint="eastAsia" w:ascii="宋体" w:hAnsi="宋体" w:cs="宋体"/>
                <w:color w:val="auto"/>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b/>
                <w:bCs/>
                <w:kern w:val="0"/>
                <w:sz w:val="22"/>
                <w:szCs w:val="22"/>
                <w:lang w:val="en-US" w:eastAsia="zh-CN"/>
              </w:rPr>
            </w:pPr>
            <w:r>
              <w:rPr>
                <w:rFonts w:hint="eastAsia" w:ascii="宋体" w:hAnsi="宋体" w:cs="宋体"/>
                <w:b/>
                <w:bCs/>
                <w:kern w:val="0"/>
                <w:sz w:val="22"/>
                <w:szCs w:val="22"/>
                <w:lang w:val="en-US" w:eastAsia="zh-CN"/>
              </w:rPr>
              <w:t>2.50</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安全管理人员不到位或擅自离场</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rPr>
              <w:t>现场见证</w:t>
            </w:r>
            <w:r>
              <w:rPr>
                <w:rFonts w:hint="eastAsia" w:ascii="宋体" w:hAnsi="宋体" w:cs="宋体"/>
                <w:color w:val="auto"/>
                <w:kern w:val="0"/>
                <w:sz w:val="22"/>
                <w:szCs w:val="22"/>
                <w:lang w:eastAsia="zh-CN"/>
              </w:rPr>
              <w:t>、</w:t>
            </w:r>
            <w:r>
              <w:rPr>
                <w:rFonts w:hint="eastAsia" w:ascii="宋体" w:hAnsi="宋体" w:cs="宋体"/>
                <w:color w:val="auto"/>
                <w:kern w:val="0"/>
                <w:sz w:val="22"/>
                <w:szCs w:val="22"/>
                <w:lang w:val="en-US" w:eastAsia="zh-CN"/>
              </w:rPr>
              <w:t>调查</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1000元/天</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b/>
                <w:bCs/>
                <w:kern w:val="0"/>
                <w:sz w:val="22"/>
                <w:szCs w:val="22"/>
                <w:lang w:val="en-US" w:eastAsia="zh-CN"/>
              </w:rPr>
            </w:pPr>
            <w:r>
              <w:rPr>
                <w:rFonts w:hint="eastAsia" w:ascii="宋体" w:hAnsi="宋体" w:cs="宋体"/>
                <w:b/>
                <w:bCs/>
                <w:kern w:val="0"/>
                <w:sz w:val="22"/>
                <w:szCs w:val="22"/>
                <w:lang w:val="en-US" w:eastAsia="zh-CN"/>
              </w:rPr>
              <w:t>2.51</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宋体" w:hAnsi="宋体" w:cs="宋体"/>
                <w:color w:val="auto"/>
                <w:kern w:val="0"/>
                <w:sz w:val="22"/>
                <w:szCs w:val="22"/>
                <w:lang w:val="en-US" w:eastAsia="zh-CN"/>
              </w:rPr>
            </w:pPr>
            <w:r>
              <w:rPr>
                <w:rFonts w:hint="eastAsia" w:ascii="宋体" w:hAnsi="宋体" w:cs="宋体"/>
                <w:color w:val="auto"/>
                <w:kern w:val="0"/>
                <w:sz w:val="22"/>
                <w:szCs w:val="22"/>
                <w:lang w:val="en-US" w:eastAsia="zh-CN"/>
              </w:rPr>
              <w:t>作业现场文明形象差</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kern w:val="0"/>
                <w:sz w:val="22"/>
                <w:szCs w:val="22"/>
              </w:rPr>
            </w:pPr>
            <w:r>
              <w:rPr>
                <w:rFonts w:hint="eastAsia" w:ascii="宋体" w:hAnsi="宋体" w:cs="宋体"/>
                <w:color w:val="auto"/>
                <w:kern w:val="0"/>
                <w:sz w:val="22"/>
                <w:szCs w:val="22"/>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200-500</w:t>
            </w:r>
            <w:r>
              <w:rPr>
                <w:rFonts w:hint="eastAsia" w:ascii="宋体" w:hAnsi="宋体" w:cs="宋体"/>
                <w:color w:val="auto"/>
                <w:kern w:val="0"/>
                <w:sz w:val="22"/>
                <w:szCs w:val="22"/>
              </w:rPr>
              <w:t>元/处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kern w:val="0"/>
                <w:sz w:val="22"/>
                <w:szCs w:val="22"/>
              </w:rPr>
            </w:pPr>
            <w:r>
              <w:rPr>
                <w:rFonts w:hint="eastAsia" w:ascii="宋体" w:hAnsi="宋体" w:cs="宋体"/>
                <w:color w:val="auto"/>
                <w:kern w:val="0"/>
                <w:sz w:val="22"/>
                <w:szCs w:val="22"/>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b/>
                <w:bCs/>
                <w:kern w:val="0"/>
                <w:sz w:val="22"/>
                <w:szCs w:val="22"/>
                <w:lang w:val="en-US"/>
              </w:rPr>
            </w:pPr>
            <w:r>
              <w:rPr>
                <w:rFonts w:hint="eastAsia" w:ascii="宋体" w:hAnsi="宋体" w:cs="宋体"/>
                <w:b/>
                <w:bCs/>
                <w:kern w:val="0"/>
                <w:sz w:val="22"/>
                <w:szCs w:val="22"/>
                <w:lang w:val="en-US" w:eastAsia="zh-CN"/>
              </w:rPr>
              <w:t>3</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2"/>
                <w:szCs w:val="22"/>
                <w:lang w:eastAsia="zh-CN"/>
              </w:rPr>
            </w:pPr>
            <w:r>
              <w:rPr>
                <w:rFonts w:hint="eastAsia" w:ascii="宋体" w:hAnsi="宋体" w:cs="宋体"/>
                <w:b/>
                <w:bCs/>
                <w:kern w:val="0"/>
                <w:sz w:val="22"/>
                <w:szCs w:val="22"/>
                <w:lang w:eastAsia="zh-CN"/>
              </w:rPr>
              <w:t>环境保护</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cs="宋体"/>
                <w:b/>
                <w:bCs/>
                <w:kern w:val="0"/>
                <w:sz w:val="22"/>
                <w:szCs w:val="22"/>
                <w:lang w:val="en-US" w:eastAsia="zh-CN"/>
              </w:rPr>
              <w:t>3.1</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ascii="宋体" w:hAnsi="宋体" w:cs="宋体"/>
                <w:kern w:val="0"/>
                <w:sz w:val="22"/>
                <w:szCs w:val="22"/>
              </w:rPr>
            </w:pPr>
            <w:r>
              <w:rPr>
                <w:rFonts w:hint="eastAsia" w:ascii="宋体" w:hAnsi="宋体" w:eastAsia="宋体" w:cs="宋体"/>
                <w:color w:val="auto"/>
                <w:kern w:val="0"/>
                <w:sz w:val="22"/>
                <w:szCs w:val="22"/>
              </w:rPr>
              <w:t>油、含油废液等进入雨水系统造成外排水水质异常</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both"/>
              <w:outlineLvl w:val="9"/>
              <w:rPr>
                <w:rFonts w:ascii="宋体" w:hAnsi="宋体" w:cs="宋体"/>
                <w:kern w:val="0"/>
                <w:sz w:val="22"/>
                <w:szCs w:val="22"/>
              </w:rPr>
            </w:pPr>
            <w:r>
              <w:rPr>
                <w:rFonts w:hint="eastAsia" w:ascii="宋体" w:hAnsi="宋体"/>
                <w:snapToGrid w:val="0"/>
                <w:color w:val="auto"/>
                <w:kern w:val="0"/>
                <w:szCs w:val="21"/>
                <w:lang w:eastAsia="zh-CN"/>
              </w:rPr>
              <w:t>现场见证（</w:t>
            </w:r>
            <w:r>
              <w:rPr>
                <w:rFonts w:hint="eastAsia" w:ascii="宋体" w:hAnsi="宋体"/>
                <w:snapToGrid w:val="0"/>
                <w:color w:val="auto"/>
                <w:kern w:val="0"/>
                <w:szCs w:val="21"/>
              </w:rPr>
              <w:t>视污染程度</w:t>
            </w:r>
            <w:r>
              <w:rPr>
                <w:rFonts w:hint="eastAsia" w:ascii="宋体" w:hAnsi="宋体"/>
                <w:snapToGrid w:val="0"/>
                <w:color w:val="auto"/>
                <w:kern w:val="0"/>
                <w:szCs w:val="21"/>
                <w:lang w:eastAsia="zh-CN"/>
              </w:rPr>
              <w:t>）</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责任单位</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500-2000元/次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cs="宋体"/>
                <w:b/>
                <w:bCs/>
                <w:kern w:val="0"/>
                <w:sz w:val="22"/>
                <w:szCs w:val="22"/>
                <w:lang w:val="en-US" w:eastAsia="zh-CN"/>
              </w:rPr>
              <w:t>3.2</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ascii="宋体" w:hAnsi="宋体" w:cs="宋体"/>
                <w:kern w:val="0"/>
                <w:sz w:val="22"/>
                <w:szCs w:val="22"/>
              </w:rPr>
            </w:pPr>
            <w:r>
              <w:rPr>
                <w:rFonts w:hint="eastAsia" w:ascii="宋体" w:hAnsi="宋体"/>
                <w:snapToGrid w:val="0"/>
                <w:color w:val="auto"/>
                <w:kern w:val="0"/>
                <w:szCs w:val="21"/>
              </w:rPr>
              <w:t>石灰石及石膏浆液，燃煤、白泥、灰渣冲洗水等进入雨水系统发生</w:t>
            </w:r>
            <w:r>
              <w:rPr>
                <w:rFonts w:hint="eastAsia" w:ascii="宋体" w:hAnsi="宋体"/>
                <w:snapToGrid w:val="0"/>
                <w:color w:val="auto"/>
                <w:kern w:val="0"/>
                <w:szCs w:val="21"/>
                <w:lang w:val="en-US" w:eastAsia="zh-CN"/>
              </w:rPr>
              <w:t>水</w:t>
            </w:r>
            <w:r>
              <w:rPr>
                <w:rFonts w:hint="eastAsia" w:ascii="宋体" w:hAnsi="宋体"/>
                <w:snapToGrid w:val="0"/>
                <w:color w:val="auto"/>
                <w:kern w:val="0"/>
                <w:szCs w:val="21"/>
              </w:rPr>
              <w:t>污染事件</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ascii="宋体" w:hAnsi="宋体" w:cs="宋体"/>
                <w:kern w:val="0"/>
                <w:sz w:val="22"/>
                <w:szCs w:val="22"/>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相关部门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500-1000元/次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cs="宋体"/>
                <w:b/>
                <w:bCs/>
                <w:kern w:val="0"/>
                <w:sz w:val="22"/>
                <w:szCs w:val="22"/>
                <w:lang w:val="en-US" w:eastAsia="zh-CN"/>
              </w:rPr>
              <w:t>3.3</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cs="宋体"/>
                <w:snapToGrid w:val="0"/>
                <w:color w:val="auto"/>
                <w:kern w:val="0"/>
                <w:sz w:val="21"/>
                <w:szCs w:val="21"/>
              </w:rPr>
            </w:pPr>
            <w:r>
              <w:rPr>
                <w:rFonts w:hint="eastAsia" w:ascii="宋体" w:hAnsi="宋体"/>
                <w:snapToGrid w:val="0"/>
                <w:color w:val="auto"/>
                <w:kern w:val="0"/>
                <w:szCs w:val="21"/>
              </w:rPr>
              <w:t>清扫责任区域清洁时，未采取措施造成</w:t>
            </w:r>
            <w:r>
              <w:rPr>
                <w:rFonts w:hint="eastAsia" w:ascii="宋体" w:hAnsi="宋体" w:eastAsia="宋体" w:cs="宋体"/>
                <w:snapToGrid w:val="0"/>
                <w:color w:val="auto"/>
                <w:kern w:val="0"/>
                <w:sz w:val="21"/>
                <w:szCs w:val="21"/>
              </w:rPr>
              <w:t>废水进入雨水系统造成外排水水质异常</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ascii="宋体" w:hAnsi="宋体" w:cs="宋体"/>
                <w:kern w:val="0"/>
                <w:sz w:val="22"/>
                <w:szCs w:val="22"/>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500-1000元/次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3.4</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snapToGrid w:val="0"/>
                <w:color w:val="auto"/>
                <w:kern w:val="0"/>
                <w:szCs w:val="21"/>
              </w:rPr>
            </w:pPr>
            <w:r>
              <w:rPr>
                <w:rFonts w:hint="eastAsia" w:ascii="宋体" w:hAnsi="宋体" w:eastAsia="宋体" w:cs="宋体"/>
                <w:snapToGrid w:val="0"/>
                <w:color w:val="auto"/>
                <w:kern w:val="0"/>
                <w:sz w:val="21"/>
                <w:szCs w:val="21"/>
              </w:rPr>
              <w:t>检修维护不当或不正常使用降噪设备、措 施，造成厂界噪声超标</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hint="eastAsia" w:ascii="宋体" w:hAnsi="宋体"/>
                <w:snapToGrid w:val="0"/>
                <w:color w:val="auto"/>
                <w:kern w:val="0"/>
                <w:szCs w:val="21"/>
                <w:lang w:eastAsia="zh-CN"/>
              </w:rPr>
            </w:pPr>
            <w:r>
              <w:rPr>
                <w:rFonts w:hint="eastAsia" w:ascii="宋体" w:hAnsi="宋体"/>
                <w:snapToGrid w:val="0"/>
                <w:color w:val="auto"/>
                <w:kern w:val="0"/>
                <w:szCs w:val="21"/>
                <w:lang w:eastAsia="zh-CN"/>
              </w:rPr>
              <w:t>现场见证或经根据调查确证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snapToGrid w:val="0"/>
                <w:color w:val="auto"/>
                <w:kern w:val="0"/>
                <w:szCs w:val="21"/>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snapToGrid w:val="0"/>
                <w:color w:val="auto"/>
                <w:kern w:val="0"/>
                <w:szCs w:val="21"/>
                <w:lang w:val="en-US" w:eastAsia="zh-CN"/>
              </w:rPr>
              <w:t>200</w:t>
            </w:r>
            <w:r>
              <w:rPr>
                <w:rFonts w:hint="eastAsia" w:ascii="宋体" w:hAnsi="宋体"/>
                <w:snapToGrid w:val="0"/>
                <w:color w:val="auto"/>
                <w:kern w:val="0"/>
                <w:szCs w:val="21"/>
              </w:rPr>
              <w:t>-500元/次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宋体"/>
                <w:kern w:val="2"/>
                <w:sz w:val="21"/>
                <w:szCs w:val="21"/>
                <w:lang w:val="en-US" w:eastAsia="zh-CN" w:bidi="ar-SA"/>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3.5</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ascii="宋体" w:hAnsi="宋体" w:cs="宋体"/>
                <w:kern w:val="0"/>
                <w:sz w:val="22"/>
                <w:szCs w:val="22"/>
              </w:rPr>
            </w:pPr>
            <w:r>
              <w:rPr>
                <w:rFonts w:hint="eastAsia" w:ascii="宋体" w:hAnsi="宋体"/>
                <w:snapToGrid w:val="0"/>
                <w:color w:val="auto"/>
                <w:kern w:val="0"/>
                <w:szCs w:val="21"/>
              </w:rPr>
              <w:t>违反运行规程使用环保设施，或者不按检修规程进行检修和维护，致使环保设备不能正常运行</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ascii="宋体" w:hAnsi="宋体" w:cs="宋体"/>
                <w:kern w:val="0"/>
                <w:sz w:val="22"/>
                <w:szCs w:val="22"/>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200-1000元/次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3.6</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ascii="宋体" w:hAnsi="宋体" w:cs="宋体"/>
                <w:kern w:val="0"/>
                <w:sz w:val="22"/>
                <w:szCs w:val="22"/>
              </w:rPr>
            </w:pPr>
            <w:r>
              <w:rPr>
                <w:rFonts w:hint="eastAsia" w:ascii="宋体" w:hAnsi="宋体"/>
                <w:snapToGrid w:val="0"/>
                <w:color w:val="auto"/>
                <w:kern w:val="0"/>
                <w:szCs w:val="21"/>
              </w:rPr>
              <w:t>对环保设备“跑、冒、滴、漏”消缺不及时</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ascii="宋体" w:hAnsi="宋体" w:cs="宋体"/>
                <w:kern w:val="0"/>
                <w:sz w:val="22"/>
                <w:szCs w:val="22"/>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lang w:val="en-US" w:eastAsia="zh-CN"/>
              </w:rPr>
              <w:t>200</w:t>
            </w:r>
            <w:r>
              <w:rPr>
                <w:rFonts w:hint="eastAsia" w:ascii="宋体" w:hAnsi="宋体"/>
                <w:snapToGrid w:val="0"/>
                <w:color w:val="auto"/>
                <w:kern w:val="0"/>
                <w:szCs w:val="21"/>
              </w:rPr>
              <w:t>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3.7</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snapToGrid w:val="0"/>
                <w:color w:val="auto"/>
                <w:kern w:val="0"/>
                <w:szCs w:val="21"/>
              </w:rPr>
            </w:pPr>
            <w:r>
              <w:rPr>
                <w:rFonts w:hint="eastAsia" w:ascii="宋体" w:hAnsi="宋体" w:eastAsia="宋体" w:cs="宋体"/>
                <w:snapToGrid w:val="0"/>
                <w:color w:val="auto"/>
                <w:kern w:val="0"/>
                <w:sz w:val="21"/>
                <w:szCs w:val="21"/>
              </w:rPr>
              <w:t>环保设备设施检修前后的台账、记录不齐 全不完全、准确</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hint="eastAsia" w:ascii="宋体" w:hAnsi="宋体"/>
                <w:snapToGrid w:val="0"/>
                <w:color w:val="auto"/>
                <w:kern w:val="0"/>
                <w:szCs w:val="21"/>
                <w:lang w:eastAsia="zh-CN"/>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snapToGrid w:val="0"/>
                <w:color w:val="auto"/>
                <w:kern w:val="0"/>
                <w:szCs w:val="21"/>
                <w:lang w:val="en-US" w:eastAsia="zh-CN"/>
              </w:rPr>
              <w:t>200-200</w:t>
            </w:r>
            <w:r>
              <w:rPr>
                <w:rFonts w:hint="eastAsia" w:ascii="宋体" w:hAnsi="宋体"/>
                <w:snapToGrid w:val="0"/>
                <w:color w:val="auto"/>
                <w:kern w:val="0"/>
                <w:szCs w:val="21"/>
              </w:rPr>
              <w:t>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宋体"/>
                <w:kern w:val="2"/>
                <w:sz w:val="21"/>
                <w:szCs w:val="21"/>
                <w:lang w:val="en-US" w:eastAsia="zh-CN" w:bidi="ar-SA"/>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3.8</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ascii="宋体" w:hAnsi="宋体" w:cs="宋体"/>
                <w:kern w:val="0"/>
                <w:sz w:val="22"/>
                <w:szCs w:val="22"/>
              </w:rPr>
            </w:pPr>
            <w:r>
              <w:rPr>
                <w:rFonts w:hint="eastAsia" w:ascii="宋体" w:hAnsi="宋体"/>
                <w:snapToGrid w:val="0"/>
                <w:color w:val="auto"/>
                <w:kern w:val="0"/>
                <w:szCs w:val="21"/>
              </w:rPr>
              <w:t>将生活垃圾混入到工业垃圾</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ascii="宋体" w:hAnsi="宋体" w:cs="宋体"/>
                <w:kern w:val="0"/>
                <w:sz w:val="22"/>
                <w:szCs w:val="22"/>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snapToGrid w:val="0"/>
                <w:color w:val="auto"/>
                <w:kern w:val="0"/>
                <w:szCs w:val="21"/>
                <w:lang w:val="en-US" w:eastAsia="zh-CN"/>
              </w:rPr>
              <w:t>200</w:t>
            </w:r>
            <w:r>
              <w:rPr>
                <w:rFonts w:hint="eastAsia" w:ascii="宋体" w:hAnsi="宋体"/>
                <w:snapToGrid w:val="0"/>
                <w:color w:val="auto"/>
                <w:kern w:val="0"/>
                <w:szCs w:val="21"/>
              </w:rPr>
              <w:t>-500元/次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宋体"/>
                <w:kern w:val="2"/>
                <w:sz w:val="21"/>
                <w:szCs w:val="21"/>
                <w:lang w:val="en-US" w:eastAsia="zh-CN" w:bidi="ar-SA"/>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3.9</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ascii="宋体" w:hAnsi="宋体" w:cs="宋体"/>
                <w:kern w:val="0"/>
                <w:sz w:val="22"/>
                <w:szCs w:val="22"/>
              </w:rPr>
            </w:pPr>
            <w:r>
              <w:rPr>
                <w:rFonts w:hint="eastAsia" w:ascii="宋体" w:hAnsi="宋体"/>
                <w:snapToGrid w:val="0"/>
                <w:color w:val="auto"/>
                <w:kern w:val="0"/>
                <w:szCs w:val="21"/>
              </w:rPr>
              <w:t>不按《危险废物管理标准》规定申报审批，随意处置造成危险废物泄漏、倾倒或</w:t>
            </w:r>
            <w:r>
              <w:rPr>
                <w:rFonts w:hint="eastAsia" w:ascii="宋体" w:hAnsi="宋体"/>
                <w:snapToGrid w:val="0"/>
                <w:color w:val="auto"/>
                <w:kern w:val="0"/>
                <w:szCs w:val="21"/>
                <w:lang w:val="en-US" w:eastAsia="zh-CN"/>
              </w:rPr>
              <w:t>抛撒</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both"/>
              <w:outlineLvl w:val="9"/>
              <w:rPr>
                <w:rFonts w:ascii="宋体" w:hAnsi="宋体" w:cs="宋体"/>
                <w:kern w:val="0"/>
                <w:sz w:val="22"/>
                <w:szCs w:val="22"/>
              </w:rPr>
            </w:pPr>
            <w:r>
              <w:rPr>
                <w:rFonts w:hint="eastAsia" w:ascii="宋体" w:hAnsi="宋体"/>
                <w:snapToGrid w:val="0"/>
                <w:color w:val="auto"/>
                <w:kern w:val="0"/>
                <w:szCs w:val="21"/>
                <w:lang w:eastAsia="zh-CN"/>
              </w:rPr>
              <w:t>现场见证或经根据调查确证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500元/次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3.10</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ascii="宋体" w:hAnsi="宋体" w:cs="宋体"/>
                <w:kern w:val="0"/>
                <w:sz w:val="22"/>
                <w:szCs w:val="22"/>
              </w:rPr>
            </w:pPr>
            <w:r>
              <w:rPr>
                <w:rFonts w:hint="eastAsia" w:ascii="宋体" w:hAnsi="宋体"/>
                <w:snapToGrid w:val="0"/>
                <w:color w:val="auto"/>
                <w:kern w:val="0"/>
                <w:szCs w:val="21"/>
              </w:rPr>
              <w:t>不按《危险废物管理标准》规定</w:t>
            </w:r>
            <w:r>
              <w:rPr>
                <w:rFonts w:hint="eastAsia" w:ascii="宋体" w:hAnsi="宋体"/>
                <w:snapToGrid w:val="0"/>
                <w:color w:val="auto"/>
                <w:kern w:val="0"/>
                <w:szCs w:val="21"/>
                <w:lang w:val="en-US" w:eastAsia="zh-CN"/>
              </w:rPr>
              <w:t>进行</w:t>
            </w:r>
            <w:r>
              <w:rPr>
                <w:rFonts w:hint="eastAsia" w:ascii="宋体" w:hAnsi="宋体"/>
                <w:snapToGrid w:val="0"/>
                <w:color w:val="auto"/>
                <w:kern w:val="0"/>
                <w:szCs w:val="21"/>
              </w:rPr>
              <w:t>收集、标识、</w:t>
            </w:r>
            <w:r>
              <w:rPr>
                <w:rFonts w:hint="eastAsia" w:ascii="宋体" w:hAnsi="宋体"/>
                <w:snapToGrid w:val="0"/>
                <w:color w:val="auto"/>
                <w:kern w:val="0"/>
                <w:szCs w:val="21"/>
                <w:lang w:val="en-US" w:eastAsia="zh-CN"/>
              </w:rPr>
              <w:t>转运</w:t>
            </w:r>
            <w:r>
              <w:rPr>
                <w:rFonts w:hint="eastAsia" w:ascii="宋体" w:hAnsi="宋体"/>
                <w:snapToGrid w:val="0"/>
                <w:color w:val="auto"/>
                <w:kern w:val="0"/>
                <w:szCs w:val="21"/>
              </w:rPr>
              <w:t>、贮存</w:t>
            </w:r>
            <w:r>
              <w:rPr>
                <w:rFonts w:hint="eastAsia" w:ascii="宋体" w:hAnsi="宋体"/>
                <w:snapToGrid w:val="0"/>
                <w:color w:val="auto"/>
                <w:kern w:val="0"/>
                <w:szCs w:val="21"/>
                <w:lang w:eastAsia="zh-CN"/>
              </w:rPr>
              <w:t>、</w:t>
            </w:r>
            <w:r>
              <w:rPr>
                <w:rFonts w:hint="eastAsia" w:ascii="宋体" w:hAnsi="宋体"/>
                <w:snapToGrid w:val="0"/>
                <w:color w:val="auto"/>
                <w:kern w:val="0"/>
                <w:szCs w:val="21"/>
              </w:rPr>
              <w:t>转移危险废物</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both"/>
              <w:outlineLvl w:val="9"/>
              <w:rPr>
                <w:rFonts w:ascii="宋体" w:hAnsi="宋体" w:cs="宋体"/>
                <w:kern w:val="0"/>
                <w:sz w:val="22"/>
                <w:szCs w:val="22"/>
              </w:rPr>
            </w:pPr>
            <w:r>
              <w:rPr>
                <w:rFonts w:hint="eastAsia" w:ascii="宋体" w:hAnsi="宋体"/>
                <w:snapToGrid w:val="0"/>
                <w:color w:val="auto"/>
                <w:kern w:val="0"/>
                <w:szCs w:val="21"/>
                <w:lang w:eastAsia="zh-CN"/>
              </w:rPr>
              <w:t>现场见证或经根据调查确证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500元/次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3.11</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ascii="宋体" w:hAnsi="宋体" w:cs="宋体"/>
                <w:kern w:val="0"/>
                <w:sz w:val="22"/>
                <w:szCs w:val="22"/>
              </w:rPr>
            </w:pPr>
            <w:r>
              <w:rPr>
                <w:rFonts w:hint="eastAsia" w:ascii="宋体" w:hAnsi="宋体"/>
                <w:snapToGrid w:val="0"/>
                <w:color w:val="auto"/>
                <w:kern w:val="0"/>
                <w:szCs w:val="21"/>
              </w:rPr>
              <w:t>对收集、贮存设施配备、维护、安全管理缺失，造成危险废物丢失、损毁或污染危害（排放超标）</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both"/>
              <w:outlineLvl w:val="9"/>
              <w:rPr>
                <w:rFonts w:ascii="宋体" w:hAnsi="宋体" w:cs="宋体"/>
                <w:kern w:val="0"/>
                <w:sz w:val="22"/>
                <w:szCs w:val="22"/>
              </w:rPr>
            </w:pPr>
            <w:r>
              <w:rPr>
                <w:rFonts w:hint="eastAsia" w:ascii="宋体" w:hAnsi="宋体"/>
                <w:snapToGrid w:val="0"/>
                <w:color w:val="auto"/>
                <w:kern w:val="0"/>
                <w:szCs w:val="21"/>
                <w:lang w:eastAsia="zh-CN"/>
              </w:rPr>
              <w:t>现场见证或经根据调查确证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eastAsia="zh-CN"/>
              </w:rPr>
            </w:pPr>
            <w:r>
              <w:rPr>
                <w:rFonts w:hint="eastAsia" w:ascii="宋体" w:hAnsi="宋体"/>
                <w:snapToGrid w:val="0"/>
                <w:color w:val="auto"/>
                <w:kern w:val="0"/>
                <w:szCs w:val="21"/>
              </w:rPr>
              <w:t>责任单位</w:t>
            </w:r>
            <w:r>
              <w:rPr>
                <w:rFonts w:hint="eastAsia" w:ascii="宋体" w:hAnsi="宋体"/>
                <w:snapToGrid w:val="0"/>
                <w:color w:val="auto"/>
                <w:kern w:val="0"/>
                <w:szCs w:val="21"/>
                <w:lang w:eastAsia="zh-CN"/>
              </w:rPr>
              <w:t>及个人</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snapToGrid w:val="0"/>
                <w:color w:val="auto"/>
                <w:kern w:val="0"/>
                <w:szCs w:val="21"/>
              </w:rPr>
              <w:t>单位</w:t>
            </w:r>
            <w:r>
              <w:rPr>
                <w:rFonts w:hint="eastAsia" w:ascii="宋体" w:hAnsi="宋体"/>
                <w:snapToGrid w:val="0"/>
                <w:color w:val="auto"/>
                <w:kern w:val="0"/>
                <w:szCs w:val="21"/>
                <w:lang w:eastAsia="zh-CN"/>
              </w:rPr>
              <w:t>2</w:t>
            </w:r>
            <w:r>
              <w:rPr>
                <w:rFonts w:hint="eastAsia" w:ascii="宋体" w:hAnsi="宋体"/>
                <w:snapToGrid w:val="0"/>
                <w:color w:val="auto"/>
                <w:kern w:val="0"/>
                <w:szCs w:val="21"/>
                <w:lang w:val="en-US" w:eastAsia="zh-CN"/>
              </w:rPr>
              <w:t>000</w:t>
            </w:r>
            <w:r>
              <w:rPr>
                <w:rFonts w:hint="eastAsia" w:ascii="宋体" w:hAnsi="宋体"/>
                <w:snapToGrid w:val="0"/>
                <w:color w:val="auto"/>
                <w:kern w:val="0"/>
                <w:szCs w:val="21"/>
              </w:rPr>
              <w:t>-30000元/次，直接责任人1000-5000元/次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3.12</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cs="宋体"/>
                <w:kern w:val="0"/>
                <w:sz w:val="22"/>
                <w:szCs w:val="22"/>
              </w:rPr>
            </w:pPr>
            <w:r>
              <w:rPr>
                <w:rFonts w:hint="eastAsia" w:ascii="宋体" w:hAnsi="宋体"/>
                <w:snapToGrid w:val="0"/>
                <w:color w:val="auto"/>
                <w:kern w:val="0"/>
                <w:szCs w:val="21"/>
              </w:rPr>
              <w:t>发生危险废物</w:t>
            </w:r>
            <w:r>
              <w:rPr>
                <w:rFonts w:hint="eastAsia" w:ascii="宋体" w:hAnsi="宋体"/>
                <w:snapToGrid w:val="0"/>
                <w:color w:val="auto"/>
                <w:kern w:val="0"/>
                <w:szCs w:val="21"/>
                <w:lang w:val="en-US" w:eastAsia="zh-CN"/>
              </w:rPr>
              <w:t>突发事件</w:t>
            </w:r>
            <w:r>
              <w:rPr>
                <w:rFonts w:hint="eastAsia" w:ascii="宋体" w:hAnsi="宋体"/>
                <w:snapToGrid w:val="0"/>
                <w:color w:val="auto"/>
                <w:kern w:val="0"/>
                <w:szCs w:val="21"/>
              </w:rPr>
              <w:t>不及时报告、救援处理或处理失当扩大事故的</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both"/>
              <w:outlineLvl w:val="9"/>
              <w:rPr>
                <w:rFonts w:hint="eastAsia" w:ascii="宋体" w:hAnsi="宋体" w:cs="宋体"/>
                <w:kern w:val="0"/>
                <w:sz w:val="22"/>
                <w:szCs w:val="22"/>
              </w:rPr>
            </w:pPr>
            <w:r>
              <w:rPr>
                <w:rFonts w:hint="eastAsia" w:ascii="宋体" w:hAnsi="宋体"/>
                <w:snapToGrid w:val="0"/>
                <w:color w:val="auto"/>
                <w:kern w:val="0"/>
                <w:szCs w:val="21"/>
                <w:lang w:eastAsia="zh-CN"/>
              </w:rPr>
              <w:t>现场见证或经根据调查确证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责任单位</w:t>
            </w:r>
            <w:r>
              <w:rPr>
                <w:rFonts w:hint="eastAsia" w:ascii="宋体" w:hAnsi="宋体"/>
                <w:snapToGrid w:val="0"/>
                <w:color w:val="auto"/>
                <w:kern w:val="0"/>
                <w:szCs w:val="21"/>
                <w:lang w:eastAsia="zh-CN"/>
              </w:rPr>
              <w:t>及个人</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单位</w:t>
            </w:r>
            <w:r>
              <w:rPr>
                <w:rFonts w:hint="eastAsia" w:ascii="宋体" w:hAnsi="宋体"/>
                <w:snapToGrid w:val="0"/>
                <w:color w:val="auto"/>
                <w:kern w:val="0"/>
                <w:szCs w:val="21"/>
                <w:lang w:val="en-US" w:eastAsia="zh-CN"/>
              </w:rPr>
              <w:t>10000</w:t>
            </w:r>
            <w:r>
              <w:rPr>
                <w:rFonts w:hint="eastAsia" w:ascii="宋体" w:hAnsi="宋体"/>
                <w:snapToGrid w:val="0"/>
                <w:color w:val="auto"/>
                <w:kern w:val="0"/>
                <w:szCs w:val="21"/>
              </w:rPr>
              <w:t>-30000元/次，直接责任人1000-5000元/次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3.13</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cs="宋体"/>
                <w:kern w:val="0"/>
                <w:sz w:val="22"/>
                <w:szCs w:val="22"/>
              </w:rPr>
            </w:pPr>
            <w:r>
              <w:rPr>
                <w:rFonts w:hint="eastAsia" w:ascii="宋体" w:hAnsi="宋体"/>
                <w:snapToGrid w:val="0"/>
                <w:color w:val="auto"/>
                <w:kern w:val="0"/>
                <w:szCs w:val="21"/>
                <w:lang w:val="en-US" w:eastAsia="zh-CN"/>
              </w:rPr>
              <w:t>不相容的</w:t>
            </w:r>
            <w:r>
              <w:rPr>
                <w:rFonts w:hint="eastAsia" w:ascii="宋体" w:hAnsi="宋体"/>
                <w:snapToGrid w:val="0"/>
                <w:color w:val="auto"/>
                <w:kern w:val="0"/>
                <w:szCs w:val="21"/>
              </w:rPr>
              <w:t>危险废物贮存时未采取隔离措施</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hint="eastAsia" w:ascii="宋体" w:hAnsi="宋体" w:cs="宋体"/>
                <w:kern w:val="0"/>
                <w:sz w:val="22"/>
                <w:szCs w:val="22"/>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lang w:val="en-US" w:eastAsia="zh-CN"/>
              </w:rPr>
              <w:t>200-500</w:t>
            </w:r>
            <w:r>
              <w:rPr>
                <w:rFonts w:hint="eastAsia" w:ascii="宋体" w:hAnsi="宋体"/>
                <w:snapToGrid w:val="0"/>
                <w:color w:val="auto"/>
                <w:kern w:val="0"/>
                <w:szCs w:val="21"/>
              </w:rPr>
              <w:t>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3.14</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cs="宋体"/>
                <w:kern w:val="0"/>
                <w:sz w:val="22"/>
                <w:szCs w:val="22"/>
              </w:rPr>
            </w:pPr>
            <w:r>
              <w:rPr>
                <w:rFonts w:hint="eastAsia" w:ascii="宋体" w:hAnsi="宋体"/>
                <w:snapToGrid w:val="0"/>
                <w:color w:val="auto"/>
                <w:kern w:val="0"/>
                <w:szCs w:val="21"/>
              </w:rPr>
              <w:t>将废油倒入下水道，造成雨水系统水污染</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hint="eastAsia" w:ascii="宋体" w:hAnsi="宋体" w:cs="宋体"/>
                <w:kern w:val="0"/>
                <w:sz w:val="22"/>
                <w:szCs w:val="22"/>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500-</w:t>
            </w:r>
            <w:r>
              <w:rPr>
                <w:rFonts w:hint="eastAsia" w:ascii="宋体" w:hAnsi="宋体"/>
                <w:snapToGrid w:val="0"/>
                <w:color w:val="auto"/>
                <w:kern w:val="0"/>
                <w:szCs w:val="21"/>
                <w:lang w:eastAsia="zh-CN"/>
              </w:rPr>
              <w:t>5</w:t>
            </w:r>
            <w:r>
              <w:rPr>
                <w:rFonts w:hint="eastAsia" w:ascii="宋体" w:hAnsi="宋体"/>
                <w:snapToGrid w:val="0"/>
                <w:color w:val="auto"/>
                <w:kern w:val="0"/>
                <w:szCs w:val="21"/>
              </w:rPr>
              <w:t>000元/次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3.15</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cs="宋体"/>
                <w:kern w:val="0"/>
                <w:sz w:val="22"/>
                <w:szCs w:val="22"/>
              </w:rPr>
            </w:pPr>
            <w:r>
              <w:rPr>
                <w:rFonts w:hint="eastAsia" w:ascii="宋体" w:hAnsi="宋体"/>
                <w:snapToGrid w:val="0"/>
                <w:color w:val="auto"/>
                <w:kern w:val="0"/>
                <w:szCs w:val="21"/>
              </w:rPr>
              <w:t>将废油或含油污的棉纱、棉布等倒入生活垃圾桶、工业垃圾池或随地乱扔、破坏绿化等行为</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both"/>
              <w:outlineLvl w:val="9"/>
              <w:rPr>
                <w:rFonts w:hint="eastAsia" w:ascii="宋体" w:hAnsi="宋体" w:cs="宋体"/>
                <w:kern w:val="0"/>
                <w:sz w:val="22"/>
                <w:szCs w:val="22"/>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责任单位</w:t>
            </w:r>
            <w:r>
              <w:rPr>
                <w:rFonts w:hint="eastAsia" w:ascii="宋体" w:hAnsi="宋体"/>
                <w:snapToGrid w:val="0"/>
                <w:color w:val="auto"/>
                <w:kern w:val="0"/>
                <w:szCs w:val="21"/>
                <w:lang w:eastAsia="zh-CN"/>
              </w:rPr>
              <w:t>及个人</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单位</w:t>
            </w:r>
            <w:r>
              <w:rPr>
                <w:rFonts w:hint="eastAsia" w:ascii="宋体" w:hAnsi="宋体"/>
                <w:snapToGrid w:val="0"/>
                <w:color w:val="auto"/>
                <w:kern w:val="0"/>
                <w:szCs w:val="21"/>
                <w:lang w:val="en-US" w:eastAsia="zh-CN"/>
              </w:rPr>
              <w:t>200</w:t>
            </w:r>
            <w:r>
              <w:rPr>
                <w:rFonts w:hint="eastAsia" w:ascii="宋体" w:hAnsi="宋体"/>
                <w:snapToGrid w:val="0"/>
                <w:color w:val="auto"/>
                <w:kern w:val="0"/>
                <w:szCs w:val="21"/>
              </w:rPr>
              <w:t>-</w:t>
            </w:r>
            <w:r>
              <w:rPr>
                <w:rFonts w:hint="eastAsia" w:ascii="宋体" w:hAnsi="宋体"/>
                <w:snapToGrid w:val="0"/>
                <w:color w:val="auto"/>
                <w:kern w:val="0"/>
                <w:szCs w:val="21"/>
                <w:lang w:val="en-US" w:eastAsia="zh-CN"/>
              </w:rPr>
              <w:t>5</w:t>
            </w:r>
            <w:r>
              <w:rPr>
                <w:rFonts w:hint="eastAsia" w:ascii="宋体" w:hAnsi="宋体"/>
                <w:snapToGrid w:val="0"/>
                <w:color w:val="auto"/>
                <w:kern w:val="0"/>
                <w:szCs w:val="21"/>
              </w:rPr>
              <w:t>00元/次，直接责任人</w:t>
            </w:r>
            <w:r>
              <w:rPr>
                <w:rFonts w:hint="eastAsia" w:ascii="宋体" w:hAnsi="宋体"/>
                <w:snapToGrid w:val="0"/>
                <w:color w:val="auto"/>
                <w:kern w:val="0"/>
                <w:szCs w:val="21"/>
                <w:lang w:val="en-US" w:eastAsia="zh-CN"/>
              </w:rPr>
              <w:t>200</w:t>
            </w:r>
            <w:r>
              <w:rPr>
                <w:rFonts w:hint="eastAsia" w:ascii="宋体" w:hAnsi="宋体"/>
                <w:snapToGrid w:val="0"/>
                <w:color w:val="auto"/>
                <w:kern w:val="0"/>
                <w:szCs w:val="21"/>
              </w:rPr>
              <w:t>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3.16</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cs="宋体"/>
                <w:kern w:val="0"/>
                <w:sz w:val="22"/>
                <w:szCs w:val="22"/>
              </w:rPr>
            </w:pPr>
            <w:r>
              <w:rPr>
                <w:rFonts w:ascii="宋体" w:hAnsi="宋体"/>
                <w:snapToGrid w:val="0"/>
                <w:color w:val="auto"/>
                <w:kern w:val="0"/>
                <w:szCs w:val="21"/>
              </w:rPr>
              <w:t>易产生扬尘的设备检修</w:t>
            </w:r>
            <w:r>
              <w:rPr>
                <w:rFonts w:hint="eastAsia" w:ascii="宋体" w:hAnsi="宋体"/>
                <w:snapToGrid w:val="0"/>
                <w:color w:val="auto"/>
                <w:kern w:val="0"/>
                <w:szCs w:val="21"/>
              </w:rPr>
              <w:t>、</w:t>
            </w:r>
            <w:r>
              <w:rPr>
                <w:rFonts w:ascii="宋体" w:hAnsi="宋体"/>
                <w:snapToGrid w:val="0"/>
                <w:color w:val="auto"/>
                <w:kern w:val="0"/>
                <w:szCs w:val="21"/>
              </w:rPr>
              <w:t>工程施工等</w:t>
            </w:r>
            <w:r>
              <w:rPr>
                <w:rFonts w:hint="eastAsia" w:ascii="宋体" w:hAnsi="宋体"/>
                <w:snapToGrid w:val="0"/>
                <w:color w:val="auto"/>
                <w:kern w:val="0"/>
                <w:szCs w:val="21"/>
              </w:rPr>
              <w:t>，</w:t>
            </w:r>
            <w:r>
              <w:rPr>
                <w:rFonts w:ascii="宋体" w:hAnsi="宋体"/>
                <w:snapToGrid w:val="0"/>
                <w:color w:val="auto"/>
                <w:kern w:val="0"/>
                <w:szCs w:val="21"/>
              </w:rPr>
              <w:t>未采取围挡、遮盖</w:t>
            </w:r>
            <w:r>
              <w:rPr>
                <w:rFonts w:hint="eastAsia" w:ascii="宋体" w:hAnsi="宋体"/>
                <w:snapToGrid w:val="0"/>
                <w:color w:val="auto"/>
                <w:kern w:val="0"/>
                <w:szCs w:val="21"/>
              </w:rPr>
              <w:t>、</w:t>
            </w:r>
            <w:r>
              <w:rPr>
                <w:rFonts w:ascii="宋体" w:hAnsi="宋体"/>
                <w:snapToGrid w:val="0"/>
                <w:color w:val="auto"/>
                <w:kern w:val="0"/>
                <w:szCs w:val="21"/>
              </w:rPr>
              <w:t>洒水</w:t>
            </w:r>
            <w:r>
              <w:rPr>
                <w:rFonts w:hint="eastAsia" w:ascii="宋体" w:hAnsi="宋体"/>
                <w:snapToGrid w:val="0"/>
                <w:color w:val="auto"/>
                <w:kern w:val="0"/>
                <w:szCs w:val="21"/>
              </w:rPr>
              <w:t>、</w:t>
            </w:r>
            <w:r>
              <w:rPr>
                <w:rFonts w:ascii="宋体" w:hAnsi="宋体"/>
                <w:snapToGrid w:val="0"/>
                <w:color w:val="auto"/>
                <w:kern w:val="0"/>
                <w:szCs w:val="21"/>
              </w:rPr>
              <w:t>分段作业</w:t>
            </w:r>
            <w:r>
              <w:rPr>
                <w:rFonts w:hint="eastAsia" w:ascii="宋体" w:hAnsi="宋体"/>
                <w:snapToGrid w:val="0"/>
                <w:color w:val="auto"/>
                <w:kern w:val="0"/>
                <w:szCs w:val="21"/>
              </w:rPr>
              <w:t>及</w:t>
            </w:r>
            <w:r>
              <w:rPr>
                <w:rFonts w:ascii="宋体" w:hAnsi="宋体"/>
                <w:snapToGrid w:val="0"/>
                <w:color w:val="auto"/>
                <w:kern w:val="0"/>
                <w:szCs w:val="21"/>
              </w:rPr>
              <w:t>冲洗地面</w:t>
            </w:r>
            <w:r>
              <w:rPr>
                <w:rFonts w:hint="eastAsia" w:ascii="宋体" w:hAnsi="宋体"/>
                <w:snapToGrid w:val="0"/>
                <w:color w:val="auto"/>
                <w:kern w:val="0"/>
                <w:szCs w:val="21"/>
              </w:rPr>
              <w:t>、</w:t>
            </w:r>
            <w:r>
              <w:rPr>
                <w:rFonts w:ascii="宋体" w:hAnsi="宋体"/>
                <w:snapToGrid w:val="0"/>
                <w:color w:val="auto"/>
                <w:kern w:val="0"/>
                <w:szCs w:val="21"/>
              </w:rPr>
              <w:t>车辆等防尘措施</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hint="eastAsia" w:ascii="宋体" w:hAnsi="宋体" w:cs="宋体"/>
                <w:kern w:val="0"/>
                <w:sz w:val="22"/>
                <w:szCs w:val="22"/>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200-500元/次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3.17</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cs="宋体"/>
                <w:kern w:val="0"/>
                <w:sz w:val="22"/>
                <w:szCs w:val="22"/>
              </w:rPr>
            </w:pPr>
            <w:r>
              <w:rPr>
                <w:rFonts w:hint="eastAsia" w:ascii="宋体" w:hAnsi="宋体"/>
                <w:snapToGrid w:val="0"/>
                <w:color w:val="auto"/>
                <w:kern w:val="0"/>
                <w:szCs w:val="21"/>
                <w:lang w:val="en-US" w:eastAsia="zh-CN"/>
              </w:rPr>
              <w:t>作业场所的保温棉及其他易产生扬尘的用品，未采取有效措施苫盖</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hint="eastAsia" w:ascii="宋体" w:hAnsi="宋体" w:cs="宋体"/>
                <w:kern w:val="0"/>
                <w:sz w:val="22"/>
                <w:szCs w:val="22"/>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200-500元/次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3.18</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cs="宋体"/>
                <w:kern w:val="0"/>
                <w:sz w:val="22"/>
                <w:szCs w:val="22"/>
              </w:rPr>
            </w:pPr>
            <w:r>
              <w:rPr>
                <w:rFonts w:ascii="宋体" w:hAnsi="宋体"/>
                <w:snapToGrid w:val="0"/>
                <w:color w:val="auto"/>
                <w:kern w:val="0"/>
                <w:szCs w:val="21"/>
              </w:rPr>
              <w:t>建筑垃圾、工程渣土等未</w:t>
            </w:r>
            <w:r>
              <w:rPr>
                <w:rFonts w:hint="eastAsia" w:ascii="宋体" w:hAnsi="宋体"/>
                <w:snapToGrid w:val="0"/>
                <w:color w:val="auto"/>
                <w:kern w:val="0"/>
                <w:szCs w:val="21"/>
              </w:rPr>
              <w:t>及时</w:t>
            </w:r>
            <w:r>
              <w:rPr>
                <w:rFonts w:ascii="宋体" w:hAnsi="宋体"/>
                <w:snapToGrid w:val="0"/>
                <w:color w:val="auto"/>
                <w:kern w:val="0"/>
                <w:szCs w:val="21"/>
              </w:rPr>
              <w:t>清运，</w:t>
            </w:r>
            <w:r>
              <w:rPr>
                <w:rFonts w:hint="eastAsia" w:ascii="宋体" w:hAnsi="宋体"/>
                <w:snapToGrid w:val="0"/>
                <w:color w:val="auto"/>
                <w:kern w:val="0"/>
                <w:szCs w:val="21"/>
              </w:rPr>
              <w:t>或未</w:t>
            </w:r>
            <w:r>
              <w:rPr>
                <w:rFonts w:ascii="宋体" w:hAnsi="宋体"/>
                <w:snapToGrid w:val="0"/>
                <w:color w:val="auto"/>
                <w:kern w:val="0"/>
                <w:szCs w:val="21"/>
              </w:rPr>
              <w:t>采取围挡、</w:t>
            </w:r>
            <w:r>
              <w:rPr>
                <w:rFonts w:hint="eastAsia" w:ascii="宋体" w:hAnsi="宋体"/>
                <w:snapToGrid w:val="0"/>
                <w:color w:val="auto"/>
                <w:kern w:val="0"/>
                <w:szCs w:val="21"/>
              </w:rPr>
              <w:t>密闭式防尘网</w:t>
            </w:r>
            <w:r>
              <w:rPr>
                <w:rFonts w:ascii="宋体" w:hAnsi="宋体"/>
                <w:snapToGrid w:val="0"/>
                <w:color w:val="auto"/>
                <w:kern w:val="0"/>
                <w:szCs w:val="21"/>
              </w:rPr>
              <w:t>等防尘措施</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hint="eastAsia" w:ascii="宋体" w:hAnsi="宋体" w:cs="宋体"/>
                <w:kern w:val="0"/>
                <w:sz w:val="22"/>
                <w:szCs w:val="22"/>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200-500元/次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3.19</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cs="宋体"/>
                <w:kern w:val="0"/>
                <w:sz w:val="22"/>
                <w:szCs w:val="22"/>
              </w:rPr>
            </w:pPr>
            <w:r>
              <w:rPr>
                <w:rFonts w:hint="eastAsia" w:ascii="宋体" w:hAnsi="宋体"/>
                <w:snapToGrid w:val="0"/>
                <w:color w:val="auto"/>
                <w:kern w:val="0"/>
                <w:szCs w:val="21"/>
              </w:rPr>
              <w:t>未认真完成责任片区的道路清洁</w:t>
            </w:r>
            <w:r>
              <w:rPr>
                <w:rFonts w:hint="eastAsia" w:ascii="宋体" w:hAnsi="宋体"/>
                <w:snapToGrid w:val="0"/>
                <w:color w:val="auto"/>
                <w:kern w:val="0"/>
                <w:szCs w:val="21"/>
                <w:lang w:eastAsia="zh-CN"/>
              </w:rPr>
              <w:t>、</w:t>
            </w:r>
            <w:r>
              <w:rPr>
                <w:rFonts w:hint="eastAsia" w:ascii="宋体" w:hAnsi="宋体"/>
                <w:snapToGrid w:val="0"/>
                <w:color w:val="auto"/>
                <w:kern w:val="0"/>
                <w:szCs w:val="21"/>
                <w:lang w:val="en-US" w:eastAsia="zh-CN"/>
              </w:rPr>
              <w:t>树木冲洗降尘</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hint="eastAsia" w:ascii="宋体" w:hAnsi="宋体" w:cs="宋体"/>
                <w:kern w:val="0"/>
                <w:sz w:val="22"/>
                <w:szCs w:val="22"/>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lang w:val="en-US" w:eastAsia="zh-CN"/>
              </w:rPr>
              <w:t>200</w:t>
            </w:r>
            <w:r>
              <w:rPr>
                <w:rFonts w:hint="eastAsia" w:ascii="宋体" w:hAnsi="宋体"/>
                <w:snapToGrid w:val="0"/>
                <w:color w:val="auto"/>
                <w:kern w:val="0"/>
                <w:szCs w:val="21"/>
              </w:rPr>
              <w:t xml:space="preserve"> 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lang w:val="en-US" w:eastAsia="zh-CN"/>
              </w:rPr>
            </w:pPr>
            <w:r>
              <w:rPr>
                <w:rFonts w:hint="eastAsia" w:ascii="宋体" w:hAnsi="宋体" w:cs="宋体"/>
                <w:b/>
                <w:bCs/>
                <w:kern w:val="0"/>
                <w:sz w:val="22"/>
                <w:szCs w:val="22"/>
                <w:lang w:val="en-US" w:eastAsia="zh-CN"/>
              </w:rPr>
              <w:t>3.20</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snapToGrid w:val="0"/>
                <w:color w:val="auto"/>
                <w:kern w:val="0"/>
                <w:szCs w:val="21"/>
              </w:rPr>
            </w:pPr>
            <w:r>
              <w:rPr>
                <w:rFonts w:hint="eastAsia" w:ascii="宋体" w:hAnsi="宋体" w:eastAsia="宋体" w:cs="宋体"/>
                <w:snapToGrid w:val="0"/>
                <w:color w:val="auto"/>
                <w:kern w:val="0"/>
                <w:sz w:val="21"/>
                <w:szCs w:val="21"/>
              </w:rPr>
              <w:t>运送散装物料，采取高空抛掷、扬撒</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hint="eastAsia" w:ascii="宋体" w:hAnsi="宋体" w:eastAsia="宋体" w:cs="宋体"/>
                <w:kern w:val="0"/>
                <w:sz w:val="22"/>
                <w:szCs w:val="22"/>
                <w:lang w:val="en-US" w:eastAsia="zh-CN" w:bidi="ar-SA"/>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snapToGrid w:val="0"/>
                <w:color w:val="auto"/>
                <w:kern w:val="0"/>
                <w:szCs w:val="21"/>
                <w:lang w:val="en-US" w:eastAsia="zh-CN"/>
              </w:rPr>
              <w:t>2</w:t>
            </w:r>
            <w:r>
              <w:rPr>
                <w:rFonts w:hint="eastAsia" w:ascii="宋体" w:hAnsi="宋体"/>
                <w:snapToGrid w:val="0"/>
                <w:color w:val="auto"/>
                <w:kern w:val="0"/>
                <w:szCs w:val="21"/>
              </w:rPr>
              <w:t>00-</w:t>
            </w:r>
            <w:r>
              <w:rPr>
                <w:rFonts w:hint="eastAsia" w:ascii="宋体" w:hAnsi="宋体"/>
                <w:snapToGrid w:val="0"/>
                <w:color w:val="auto"/>
                <w:kern w:val="0"/>
                <w:szCs w:val="21"/>
                <w:lang w:val="en-US" w:eastAsia="zh-CN"/>
              </w:rPr>
              <w:t>5</w:t>
            </w:r>
            <w:r>
              <w:rPr>
                <w:rFonts w:hint="eastAsia" w:ascii="宋体" w:hAnsi="宋体"/>
                <w:snapToGrid w:val="0"/>
                <w:color w:val="auto"/>
                <w:kern w:val="0"/>
                <w:szCs w:val="21"/>
              </w:rPr>
              <w:t>00 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2"/>
                <w:szCs w:val="22"/>
                <w:lang w:val="en-US" w:eastAsia="zh-CN" w:bidi="ar-SA"/>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lang w:val="en-US" w:eastAsia="zh-CN"/>
              </w:rPr>
            </w:pPr>
            <w:r>
              <w:rPr>
                <w:rFonts w:hint="eastAsia" w:ascii="宋体" w:hAnsi="宋体" w:cs="宋体"/>
                <w:b/>
                <w:bCs/>
                <w:kern w:val="0"/>
                <w:sz w:val="22"/>
                <w:szCs w:val="22"/>
                <w:lang w:val="en-US" w:eastAsia="zh-CN"/>
              </w:rPr>
              <w:t>3.21</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运输散装、液体物料时未采取密闭或其他 措施防止物料撒落、泄漏、扬散等</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hint="eastAsia" w:ascii="宋体" w:hAnsi="宋体" w:eastAsia="宋体" w:cs="宋体"/>
                <w:kern w:val="0"/>
                <w:sz w:val="22"/>
                <w:szCs w:val="22"/>
                <w:lang w:val="en-US" w:eastAsia="zh-CN" w:bidi="ar-SA"/>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snapToGrid w:val="0"/>
                <w:color w:val="auto"/>
                <w:kern w:val="0"/>
                <w:szCs w:val="21"/>
                <w:lang w:val="en-US" w:eastAsia="zh-CN"/>
              </w:rPr>
              <w:t>200</w:t>
            </w:r>
            <w:r>
              <w:rPr>
                <w:rFonts w:hint="eastAsia" w:ascii="宋体" w:hAnsi="宋体"/>
                <w:snapToGrid w:val="0"/>
                <w:color w:val="auto"/>
                <w:kern w:val="0"/>
                <w:szCs w:val="21"/>
              </w:rPr>
              <w:t>-</w:t>
            </w:r>
            <w:r>
              <w:rPr>
                <w:rFonts w:hint="eastAsia" w:ascii="宋体" w:hAnsi="宋体"/>
                <w:snapToGrid w:val="0"/>
                <w:color w:val="auto"/>
                <w:kern w:val="0"/>
                <w:szCs w:val="21"/>
                <w:lang w:val="en-US" w:eastAsia="zh-CN"/>
              </w:rPr>
              <w:t>10</w:t>
            </w:r>
            <w:r>
              <w:rPr>
                <w:rFonts w:hint="eastAsia" w:ascii="宋体" w:hAnsi="宋体"/>
                <w:snapToGrid w:val="0"/>
                <w:color w:val="auto"/>
                <w:kern w:val="0"/>
                <w:szCs w:val="21"/>
              </w:rPr>
              <w:t>00 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2"/>
                <w:szCs w:val="22"/>
                <w:lang w:val="en-US" w:eastAsia="zh-CN" w:bidi="ar-SA"/>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3.22</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cs="宋体"/>
                <w:kern w:val="0"/>
                <w:sz w:val="22"/>
                <w:szCs w:val="22"/>
              </w:rPr>
            </w:pPr>
            <w:r>
              <w:rPr>
                <w:rFonts w:hint="eastAsia" w:ascii="宋体" w:hAnsi="宋体"/>
                <w:snapToGrid w:val="0"/>
                <w:color w:val="auto"/>
                <w:kern w:val="0"/>
                <w:szCs w:val="21"/>
              </w:rPr>
              <w:t>未及时清理洒落到地面的灰渣、煤渣、石膏等</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both"/>
              <w:outlineLvl w:val="9"/>
              <w:rPr>
                <w:rFonts w:hint="eastAsia" w:ascii="宋体" w:hAnsi="宋体" w:cs="宋体"/>
                <w:kern w:val="0"/>
                <w:sz w:val="22"/>
                <w:szCs w:val="22"/>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lang w:val="en-US" w:eastAsia="zh-CN"/>
              </w:rPr>
              <w:t>200</w:t>
            </w:r>
            <w:r>
              <w:rPr>
                <w:rFonts w:hint="eastAsia" w:ascii="宋体" w:hAnsi="宋体"/>
                <w:snapToGrid w:val="0"/>
                <w:color w:val="auto"/>
                <w:kern w:val="0"/>
                <w:szCs w:val="21"/>
              </w:rPr>
              <w:t>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cs="宋体"/>
                <w:b/>
                <w:bCs/>
                <w:kern w:val="0"/>
                <w:sz w:val="22"/>
                <w:szCs w:val="22"/>
                <w:lang w:val="en-US" w:eastAsia="zh-CN"/>
              </w:rPr>
              <w:t>3.23</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cs="宋体"/>
                <w:kern w:val="0"/>
                <w:sz w:val="22"/>
                <w:szCs w:val="22"/>
              </w:rPr>
            </w:pPr>
            <w:r>
              <w:rPr>
                <w:rFonts w:hint="eastAsia" w:ascii="宋体" w:hAnsi="宋体"/>
                <w:snapToGrid w:val="0"/>
                <w:color w:val="auto"/>
                <w:kern w:val="0"/>
                <w:szCs w:val="21"/>
              </w:rPr>
              <w:t xml:space="preserve">因检修或其他原因未通知绿化养护管理单位而造成植物死亡、景观效果受影响的；绿化养护管理单位未及时采取对植物移栽等措施造成植物死亡的 </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both"/>
              <w:outlineLvl w:val="9"/>
              <w:rPr>
                <w:rFonts w:hint="eastAsia" w:ascii="宋体" w:hAnsi="宋体" w:cs="宋体"/>
                <w:kern w:val="0"/>
                <w:sz w:val="22"/>
                <w:szCs w:val="22"/>
              </w:rPr>
            </w:pPr>
            <w:r>
              <w:rPr>
                <w:rFonts w:hint="eastAsia" w:ascii="宋体" w:hAnsi="宋体"/>
                <w:snapToGrid w:val="0"/>
                <w:color w:val="auto"/>
                <w:kern w:val="0"/>
                <w:szCs w:val="21"/>
                <w:lang w:eastAsia="zh-CN"/>
              </w:rPr>
              <w:t>现场见证（视</w:t>
            </w:r>
            <w:r>
              <w:rPr>
                <w:rFonts w:hint="eastAsia" w:ascii="宋体" w:hAnsi="宋体"/>
                <w:snapToGrid w:val="0"/>
                <w:color w:val="auto"/>
                <w:kern w:val="0"/>
                <w:szCs w:val="21"/>
              </w:rPr>
              <w:t>植物被损坏的程度</w:t>
            </w:r>
            <w:r>
              <w:rPr>
                <w:rFonts w:hint="eastAsia" w:ascii="宋体" w:hAnsi="宋体"/>
                <w:snapToGrid w:val="0"/>
                <w:color w:val="auto"/>
                <w:kern w:val="0"/>
                <w:szCs w:val="21"/>
                <w:lang w:eastAsia="zh-CN"/>
              </w:rPr>
              <w:t>）</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200-5000元/次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rPr>
            </w:pPr>
            <w:r>
              <w:rPr>
                <w:rFonts w:hint="eastAsia" w:ascii="宋体" w:hAnsi="宋体" w:cs="宋体"/>
                <w:b/>
                <w:bCs/>
                <w:kern w:val="0"/>
                <w:sz w:val="22"/>
                <w:szCs w:val="22"/>
                <w:lang w:val="en-US" w:eastAsia="zh-CN"/>
              </w:rPr>
              <w:t>3.24</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outlineLvl w:val="9"/>
              <w:rPr>
                <w:rFonts w:hint="eastAsia" w:ascii="宋体" w:hAnsi="宋体" w:cs="宋体"/>
                <w:kern w:val="0"/>
                <w:sz w:val="22"/>
                <w:szCs w:val="22"/>
              </w:rPr>
            </w:pPr>
            <w:r>
              <w:rPr>
                <w:rFonts w:hint="eastAsia" w:ascii="宋体" w:hAnsi="宋体"/>
                <w:snapToGrid w:val="0"/>
                <w:color w:val="auto"/>
                <w:kern w:val="0"/>
                <w:szCs w:val="21"/>
              </w:rPr>
              <w:t>发生摘花、随意践踏草坪、攀折树枝、偷摘果实等影响植物生长、破坏景观效果等不良行为</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both"/>
              <w:outlineLvl w:val="9"/>
              <w:rPr>
                <w:rFonts w:hint="eastAsia" w:ascii="宋体" w:hAnsi="宋体" w:eastAsia="宋体" w:cs="宋体"/>
                <w:kern w:val="0"/>
                <w:sz w:val="22"/>
                <w:szCs w:val="22"/>
                <w:lang w:eastAsia="zh-CN"/>
              </w:rPr>
            </w:pPr>
            <w:r>
              <w:rPr>
                <w:rFonts w:hint="eastAsia" w:ascii="宋体" w:hAnsi="宋体"/>
                <w:snapToGrid w:val="0"/>
                <w:color w:val="auto"/>
                <w:kern w:val="0"/>
                <w:szCs w:val="21"/>
                <w:lang w:eastAsia="zh-CN"/>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rPr>
              <w:t>责任人</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snapToGrid w:val="0"/>
                <w:color w:val="auto"/>
                <w:kern w:val="0"/>
                <w:szCs w:val="21"/>
                <w:lang w:val="en-US" w:eastAsia="zh-CN"/>
              </w:rPr>
              <w:t>200-1000</w:t>
            </w:r>
            <w:r>
              <w:rPr>
                <w:rFonts w:hint="eastAsia" w:ascii="宋体" w:hAnsi="宋体"/>
                <w:snapToGrid w:val="0"/>
                <w:color w:val="auto"/>
                <w:kern w:val="0"/>
                <w:szCs w:val="21"/>
              </w:rPr>
              <w:t>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生技或安健环部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szCs w:val="22"/>
                <w:lang w:eastAsia="zh-CN"/>
              </w:rPr>
            </w:pPr>
            <w:r>
              <w:rPr>
                <w:rFonts w:hint="eastAsia" w:ascii="宋体" w:hAnsi="宋体" w:cs="宋体"/>
                <w:b/>
                <w:bCs/>
                <w:kern w:val="0"/>
                <w:sz w:val="22"/>
                <w:szCs w:val="22"/>
                <w:lang w:val="en-US" w:eastAsia="zh-CN"/>
              </w:rPr>
              <w:t>4</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事故考核</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lang w:val="en-US" w:eastAsia="zh-CN"/>
              </w:rPr>
              <w:t>4</w:t>
            </w:r>
            <w:r>
              <w:rPr>
                <w:rFonts w:hint="eastAsia" w:ascii="宋体" w:hAnsi="宋体" w:cs="宋体"/>
                <w:b/>
                <w:bCs/>
                <w:kern w:val="0"/>
                <w:sz w:val="22"/>
                <w:szCs w:val="22"/>
              </w:rPr>
              <w:t>．1</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外包单位发生人身轻伤</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责任管理部门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5000元/人次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lang w:val="en-US" w:eastAsia="zh-CN"/>
              </w:rPr>
              <w:t>4</w:t>
            </w:r>
            <w:r>
              <w:rPr>
                <w:rFonts w:hint="eastAsia" w:ascii="宋体" w:hAnsi="宋体" w:cs="宋体"/>
                <w:b/>
                <w:bCs/>
                <w:kern w:val="0"/>
                <w:sz w:val="22"/>
                <w:szCs w:val="22"/>
              </w:rPr>
              <w:t>．2</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外包单位发生人身重伤</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安全有关规定</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责任管理部门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50000元/人次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lang w:val="en-US" w:eastAsia="zh-CN"/>
              </w:rPr>
              <w:t>4</w:t>
            </w:r>
            <w:r>
              <w:rPr>
                <w:rFonts w:hint="eastAsia" w:ascii="宋体" w:hAnsi="宋体" w:cs="宋体"/>
                <w:b/>
                <w:bCs/>
                <w:kern w:val="0"/>
                <w:sz w:val="22"/>
                <w:szCs w:val="22"/>
              </w:rPr>
              <w:t>．3</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外包单位发生人身重伤以上事故</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安全有关规定</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责任管理部门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200000元/人次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lang w:val="en-US" w:eastAsia="zh-CN"/>
              </w:rPr>
              <w:t>4</w:t>
            </w:r>
            <w:r>
              <w:rPr>
                <w:rFonts w:hint="eastAsia" w:ascii="宋体" w:hAnsi="宋体" w:cs="宋体"/>
                <w:b/>
                <w:bCs/>
                <w:kern w:val="0"/>
                <w:sz w:val="22"/>
                <w:szCs w:val="22"/>
              </w:rPr>
              <w:t>．4</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发生人身伤亡未遂</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lang w:val="en-US" w:eastAsia="zh-CN"/>
              </w:rPr>
              <w:t>3000</w:t>
            </w:r>
            <w:r>
              <w:rPr>
                <w:rFonts w:hint="eastAsia" w:ascii="宋体" w:hAnsi="宋体" w:cs="宋体"/>
                <w:snapToGrid w:val="0"/>
                <w:color w:val="auto"/>
                <w:kern w:val="0"/>
                <w:sz w:val="21"/>
                <w:szCs w:val="21"/>
              </w:rPr>
              <w:t>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lang w:val="en-US" w:eastAsia="zh-CN"/>
              </w:rPr>
              <w:t>4</w:t>
            </w:r>
            <w:r>
              <w:rPr>
                <w:rFonts w:hint="eastAsia" w:ascii="宋体" w:hAnsi="宋体" w:cs="宋体"/>
                <w:b/>
                <w:bCs/>
                <w:kern w:val="0"/>
                <w:sz w:val="22"/>
                <w:szCs w:val="22"/>
              </w:rPr>
              <w:t>．5</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发生人身伤亡、设备事故（损坏）未遂，瞒情不报的</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5000元/次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lang w:val="en-US" w:eastAsia="zh-CN"/>
              </w:rPr>
              <w:t>4</w:t>
            </w:r>
            <w:r>
              <w:rPr>
                <w:rFonts w:hint="eastAsia" w:ascii="宋体" w:hAnsi="宋体" w:cs="宋体"/>
                <w:b/>
                <w:bCs/>
                <w:kern w:val="0"/>
                <w:sz w:val="22"/>
                <w:szCs w:val="22"/>
              </w:rPr>
              <w:t>．6</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发生一般设备损坏</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1000</w:t>
            </w:r>
            <w:r>
              <w:rPr>
                <w:rFonts w:hint="eastAsia" w:ascii="宋体" w:hAnsi="宋体" w:cs="宋体"/>
                <w:snapToGrid w:val="0"/>
                <w:color w:val="auto"/>
                <w:kern w:val="0"/>
                <w:sz w:val="21"/>
                <w:szCs w:val="21"/>
                <w:lang w:val="en-US" w:eastAsia="zh-CN"/>
              </w:rPr>
              <w:t>-5000</w:t>
            </w:r>
            <w:r>
              <w:rPr>
                <w:rFonts w:hint="eastAsia" w:ascii="宋体" w:hAnsi="宋体" w:cs="宋体"/>
                <w:snapToGrid w:val="0"/>
                <w:color w:val="auto"/>
                <w:kern w:val="0"/>
                <w:sz w:val="21"/>
                <w:szCs w:val="21"/>
              </w:rPr>
              <w:t>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lang w:val="en-US" w:eastAsia="zh-CN"/>
              </w:rPr>
              <w:t>4</w:t>
            </w:r>
            <w:r>
              <w:rPr>
                <w:rFonts w:hint="eastAsia" w:ascii="宋体" w:hAnsi="宋体" w:cs="宋体"/>
                <w:b/>
                <w:bCs/>
                <w:kern w:val="0"/>
                <w:sz w:val="22"/>
                <w:szCs w:val="22"/>
              </w:rPr>
              <w:t>．7</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发生重大设备损坏事故</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现场见证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各部门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eastAsia="宋体" w:cs="宋体"/>
                <w:snapToGrid w:val="0"/>
                <w:color w:val="auto"/>
                <w:kern w:val="0"/>
                <w:sz w:val="21"/>
                <w:szCs w:val="21"/>
                <w:lang w:val="en-US" w:eastAsia="zh-CN"/>
              </w:rPr>
            </w:pPr>
            <w:r>
              <w:rPr>
                <w:rFonts w:hint="eastAsia" w:ascii="宋体" w:hAnsi="宋体" w:cs="宋体"/>
                <w:snapToGrid w:val="0"/>
                <w:color w:val="auto"/>
                <w:kern w:val="0"/>
                <w:sz w:val="21"/>
                <w:szCs w:val="21"/>
                <w:lang w:val="en-US" w:eastAsia="zh-CN"/>
              </w:rPr>
              <w:t>10000-100000</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lang w:val="en-US" w:eastAsia="zh-CN"/>
              </w:rPr>
              <w:t>4</w:t>
            </w:r>
            <w:r>
              <w:rPr>
                <w:rFonts w:hint="eastAsia" w:ascii="宋体" w:hAnsi="宋体" w:cs="宋体"/>
                <w:b/>
                <w:bCs/>
                <w:kern w:val="0"/>
                <w:sz w:val="22"/>
                <w:szCs w:val="22"/>
              </w:rPr>
              <w:t>．8</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发生一般火灾</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安全有关规定</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500-</w:t>
            </w:r>
            <w:r>
              <w:rPr>
                <w:rFonts w:hint="eastAsia" w:ascii="宋体" w:hAnsi="宋体" w:cs="宋体"/>
                <w:snapToGrid w:val="0"/>
                <w:color w:val="auto"/>
                <w:kern w:val="0"/>
                <w:sz w:val="21"/>
                <w:szCs w:val="21"/>
                <w:lang w:val="en-US" w:eastAsia="zh-CN"/>
              </w:rPr>
              <w:t>5000</w:t>
            </w:r>
            <w:r>
              <w:rPr>
                <w:rFonts w:hint="eastAsia" w:ascii="宋体" w:hAnsi="宋体" w:cs="宋体"/>
                <w:snapToGrid w:val="0"/>
                <w:color w:val="auto"/>
                <w:kern w:val="0"/>
                <w:sz w:val="21"/>
                <w:szCs w:val="21"/>
              </w:rPr>
              <w:t>元/次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lang w:val="en-US" w:eastAsia="zh-CN"/>
              </w:rPr>
              <w:t>4</w:t>
            </w:r>
            <w:r>
              <w:rPr>
                <w:rFonts w:hint="eastAsia" w:ascii="宋体" w:hAnsi="宋体" w:cs="宋体"/>
                <w:b/>
                <w:bCs/>
                <w:kern w:val="0"/>
                <w:sz w:val="22"/>
                <w:szCs w:val="22"/>
              </w:rPr>
              <w:t>．9</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发生</w:t>
            </w:r>
            <w:r>
              <w:rPr>
                <w:rFonts w:hint="eastAsia" w:ascii="宋体" w:hAnsi="宋体" w:cs="宋体"/>
                <w:snapToGrid w:val="0"/>
                <w:color w:val="auto"/>
                <w:kern w:val="0"/>
                <w:sz w:val="21"/>
                <w:szCs w:val="21"/>
                <w:lang w:val="en-US" w:eastAsia="zh-CN"/>
              </w:rPr>
              <w:t>较大及以上</w:t>
            </w:r>
            <w:r>
              <w:rPr>
                <w:rFonts w:hint="eastAsia" w:ascii="宋体" w:hAnsi="宋体" w:cs="宋体"/>
                <w:snapToGrid w:val="0"/>
                <w:color w:val="auto"/>
                <w:kern w:val="0"/>
                <w:sz w:val="21"/>
                <w:szCs w:val="21"/>
              </w:rPr>
              <w:t>火灾事故</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安全有关规定</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各部门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eastAsia="宋体" w:cs="宋体"/>
                <w:snapToGrid w:val="0"/>
                <w:color w:val="auto"/>
                <w:kern w:val="0"/>
                <w:sz w:val="21"/>
                <w:szCs w:val="21"/>
                <w:lang w:val="en-US" w:eastAsia="zh-CN"/>
              </w:rPr>
            </w:pPr>
            <w:r>
              <w:rPr>
                <w:rFonts w:hint="eastAsia" w:ascii="宋体" w:hAnsi="宋体" w:cs="宋体"/>
                <w:snapToGrid w:val="0"/>
                <w:color w:val="auto"/>
                <w:kern w:val="0"/>
                <w:sz w:val="21"/>
                <w:szCs w:val="21"/>
                <w:lang w:val="en-US" w:eastAsia="zh-CN"/>
              </w:rPr>
              <w:t>10000-100000</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szCs w:val="22"/>
                <w:lang w:eastAsia="zh-CN"/>
              </w:rPr>
            </w:pPr>
            <w:r>
              <w:rPr>
                <w:rFonts w:hint="eastAsia" w:ascii="宋体" w:hAnsi="宋体" w:cs="宋体"/>
                <w:b/>
                <w:bCs/>
                <w:kern w:val="0"/>
                <w:sz w:val="22"/>
                <w:szCs w:val="22"/>
                <w:lang w:val="en-US" w:eastAsia="zh-CN"/>
              </w:rPr>
              <w:t>5</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eastAsia="宋体" w:cs="宋体"/>
                <w:snapToGrid w:val="0"/>
                <w:color w:val="auto"/>
                <w:kern w:val="0"/>
                <w:sz w:val="21"/>
                <w:szCs w:val="21"/>
                <w:lang w:eastAsia="zh-CN"/>
              </w:rPr>
            </w:pPr>
            <w:r>
              <w:rPr>
                <w:rFonts w:hint="eastAsia" w:ascii="宋体" w:hAnsi="宋体" w:cs="宋体"/>
                <w:snapToGrid w:val="0"/>
                <w:color w:val="auto"/>
                <w:kern w:val="0"/>
                <w:sz w:val="21"/>
                <w:szCs w:val="21"/>
              </w:rPr>
              <w:t>发生职业病</w:t>
            </w:r>
            <w:r>
              <w:rPr>
                <w:rFonts w:hint="eastAsia" w:ascii="宋体" w:hAnsi="宋体" w:cs="宋体"/>
                <w:snapToGrid w:val="0"/>
                <w:color w:val="auto"/>
                <w:kern w:val="0"/>
                <w:sz w:val="21"/>
                <w:szCs w:val="21"/>
                <w:lang w:val="en-US" w:eastAsia="zh-CN"/>
              </w:rPr>
              <w:t>病例</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有关规定</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1000元/人次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cs="宋体"/>
                <w:snapToGrid w:val="0"/>
                <w:color w:val="auto"/>
                <w:kern w:val="0"/>
                <w:sz w:val="21"/>
                <w:szCs w:val="21"/>
              </w:rPr>
            </w:pPr>
            <w:r>
              <w:rPr>
                <w:rFonts w:hint="eastAsia" w:ascii="宋体" w:hAnsi="宋体" w:cs="宋体"/>
                <w:snapToGrid w:val="0"/>
                <w:color w:val="auto"/>
                <w:kern w:val="0"/>
                <w:sz w:val="21"/>
                <w:szCs w:val="21"/>
              </w:rPr>
              <w:t>安健环部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rPr>
              <w:t>6</w:t>
            </w:r>
          </w:p>
        </w:tc>
        <w:tc>
          <w:tcPr>
            <w:tcW w:w="411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default" w:ascii="宋体" w:hAnsi="宋体" w:eastAsia="宋体" w:cs="宋体"/>
                <w:b w:val="0"/>
                <w:bCs w:val="0"/>
                <w:snapToGrid w:val="0"/>
                <w:color w:val="auto"/>
                <w:kern w:val="0"/>
                <w:sz w:val="21"/>
                <w:szCs w:val="21"/>
                <w:lang w:val="en-US" w:eastAsia="zh-CN" w:bidi="ar-SA"/>
              </w:rPr>
            </w:pPr>
            <w:r>
              <w:rPr>
                <w:rFonts w:hint="eastAsia" w:ascii="宋体" w:hAnsi="宋体" w:cs="宋体"/>
                <w:b w:val="0"/>
                <w:bCs w:val="0"/>
                <w:snapToGrid w:val="0"/>
                <w:color w:val="auto"/>
                <w:kern w:val="0"/>
                <w:sz w:val="21"/>
                <w:szCs w:val="21"/>
                <w:lang w:val="en-US" w:eastAsia="zh-CN"/>
              </w:rPr>
              <w:t>现场其他违章行为及不安全事件</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eastAsia="宋体" w:cs="宋体"/>
                <w:snapToGrid w:val="0"/>
                <w:color w:val="auto"/>
                <w:kern w:val="0"/>
                <w:sz w:val="21"/>
                <w:szCs w:val="21"/>
                <w:lang w:val="en-US" w:eastAsia="zh-CN" w:bidi="ar-SA"/>
              </w:rPr>
            </w:pPr>
            <w:r>
              <w:rPr>
                <w:rFonts w:hint="eastAsia" w:ascii="宋体" w:hAnsi="宋体" w:cs="宋体"/>
                <w:snapToGrid w:val="0"/>
                <w:color w:val="auto"/>
                <w:kern w:val="0"/>
                <w:sz w:val="21"/>
                <w:szCs w:val="21"/>
                <w:lang w:val="en-US" w:eastAsia="zh-CN"/>
              </w:rPr>
              <w:t>现场见证、调查分析</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eastAsia="宋体" w:cs="宋体"/>
                <w:snapToGrid w:val="0"/>
                <w:color w:val="auto"/>
                <w:kern w:val="0"/>
                <w:sz w:val="21"/>
                <w:szCs w:val="21"/>
                <w:lang w:val="en-US" w:eastAsia="zh-CN" w:bidi="ar-SA"/>
              </w:rPr>
            </w:pPr>
            <w:r>
              <w:rPr>
                <w:rFonts w:hint="eastAsia" w:ascii="宋体" w:hAnsi="宋体" w:cs="宋体"/>
                <w:snapToGrid w:val="0"/>
                <w:color w:val="auto"/>
                <w:kern w:val="0"/>
                <w:sz w:val="21"/>
                <w:szCs w:val="21"/>
              </w:rPr>
              <w:t>责任部门</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default" w:ascii="宋体" w:hAnsi="宋体" w:eastAsia="宋体" w:cs="宋体"/>
                <w:snapToGrid w:val="0"/>
                <w:color w:val="auto"/>
                <w:kern w:val="0"/>
                <w:sz w:val="21"/>
                <w:szCs w:val="21"/>
                <w:lang w:val="en-US" w:eastAsia="zh-CN" w:bidi="ar-SA"/>
              </w:rPr>
            </w:pPr>
            <w:r>
              <w:rPr>
                <w:rFonts w:hint="eastAsia" w:ascii="宋体" w:hAnsi="宋体" w:cs="宋体"/>
                <w:snapToGrid w:val="0"/>
                <w:color w:val="auto"/>
                <w:kern w:val="0"/>
                <w:sz w:val="21"/>
                <w:szCs w:val="21"/>
                <w:lang w:val="en-US" w:eastAsia="zh-CN"/>
              </w:rPr>
              <w:t>按照《安全环保奖惩管理标准》《反违章管理制度》《承包商及队伍、外来人员安全管理标准（试行）》等管理制度实施考核</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91"/>
              </w:tabs>
              <w:jc w:val="left"/>
              <w:outlineLvl w:val="9"/>
              <w:rPr>
                <w:rFonts w:hint="eastAsia" w:ascii="宋体" w:hAnsi="宋体" w:eastAsia="宋体" w:cs="宋体"/>
                <w:snapToGrid w:val="0"/>
                <w:color w:val="auto"/>
                <w:kern w:val="0"/>
                <w:sz w:val="21"/>
                <w:szCs w:val="21"/>
                <w:lang w:val="en-US" w:eastAsia="zh-CN" w:bidi="ar-SA"/>
              </w:rPr>
            </w:pPr>
            <w:r>
              <w:rPr>
                <w:rFonts w:hint="eastAsia" w:ascii="宋体" w:hAnsi="宋体" w:cs="宋体"/>
                <w:snapToGrid w:val="0"/>
                <w:color w:val="auto"/>
                <w:kern w:val="0"/>
                <w:sz w:val="21"/>
                <w:szCs w:val="21"/>
              </w:rPr>
              <w:t>安健环部</w:t>
            </w:r>
          </w:p>
        </w:tc>
      </w:tr>
    </w:tbl>
    <w:p>
      <w:pPr>
        <w:snapToGrid w:val="0"/>
        <w:spacing w:line="360" w:lineRule="exact"/>
        <w:rPr>
          <w:rFonts w:hint="eastAsia"/>
        </w:rPr>
      </w:pPr>
      <w:r>
        <w:rPr>
          <w:rFonts w:hint="eastAsia"/>
          <w:lang w:val="en-US" w:eastAsia="zh-CN"/>
        </w:rPr>
        <w:t>注：以上考核如与</w:t>
      </w:r>
      <w:r>
        <w:rPr>
          <w:rFonts w:hint="eastAsia" w:ascii="宋体" w:hAnsi="宋体"/>
          <w:b w:val="0"/>
          <w:bCs w:val="0"/>
          <w:snapToGrid w:val="0"/>
          <w:color w:val="auto"/>
          <w:kern w:val="0"/>
          <w:szCs w:val="21"/>
          <w:lang w:val="en-US" w:eastAsia="zh-CN"/>
        </w:rPr>
        <w:t>《设备检修安全管理标准》《安全环保奖惩管理标准》冲突的，以考核严厉的为准。</w:t>
      </w:r>
    </w:p>
    <w:p/>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rPr>
        <w:rStyle w:val="15"/>
      </w:rPr>
      <w:instrText xml:space="preserve"> PAGE </w:instrText>
    </w:r>
    <w:r>
      <w:fldChar w:fldCharType="separate"/>
    </w:r>
    <w:r>
      <w:rPr>
        <w:rStyle w:val="15"/>
      </w:rPr>
      <w:t>1</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rPr>
        <w:rFonts w:hint="eastAsia"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2169F7"/>
    <w:multiLevelType w:val="multilevel"/>
    <w:tmpl w:val="142169F7"/>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425"/>
        </w:tabs>
        <w:ind w:left="425" w:hanging="425"/>
      </w:pPr>
      <w:rPr>
        <w:rFonts w:hint="eastAsia"/>
        <w:b w:val="0"/>
      </w:rPr>
    </w:lvl>
    <w:lvl w:ilvl="2" w:tentative="0">
      <w:start w:val="1"/>
      <w:numFmt w:val="decimal"/>
      <w:lvlText w:val="%1.%2.%3"/>
      <w:lvlJc w:val="left"/>
      <w:pPr>
        <w:tabs>
          <w:tab w:val="left" w:pos="425"/>
        </w:tabs>
        <w:ind w:left="425" w:hanging="425"/>
      </w:pPr>
      <w:rPr>
        <w:rFonts w:hint="eastAsia"/>
        <w:b w:val="0"/>
      </w:rPr>
    </w:lvl>
    <w:lvl w:ilvl="3" w:tentative="0">
      <w:start w:val="1"/>
      <w:numFmt w:val="decimal"/>
      <w:lvlText w:val="%1.%2.%3.%4"/>
      <w:lvlJc w:val="left"/>
      <w:pPr>
        <w:tabs>
          <w:tab w:val="left" w:pos="425"/>
        </w:tabs>
        <w:ind w:left="425" w:hanging="425"/>
      </w:pPr>
      <w:rPr>
        <w:rFonts w:hint="eastAsia"/>
        <w:b w:val="0"/>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92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922"/>
        </w:tabs>
        <w:ind w:left="5102" w:hanging="1700"/>
      </w:pPr>
      <w:rPr>
        <w:rFonts w:hint="eastAsia"/>
      </w:rPr>
    </w:lvl>
  </w:abstractNum>
  <w:abstractNum w:abstractNumId="1">
    <w:nsid w:val="2EC73843"/>
    <w:multiLevelType w:val="multilevel"/>
    <w:tmpl w:val="2EC73843"/>
    <w:lvl w:ilvl="0" w:tentative="0">
      <w:start w:val="1"/>
      <w:numFmt w:val="decimal"/>
      <w:lvlText w:val="%1)"/>
      <w:lvlJc w:val="left"/>
      <w:pPr>
        <w:ind w:left="830" w:hanging="420"/>
      </w:pPr>
    </w:lvl>
    <w:lvl w:ilvl="1" w:tentative="0">
      <w:start w:val="1"/>
      <w:numFmt w:val="lowerLetter"/>
      <w:lvlText w:val="%2)"/>
      <w:lvlJc w:val="left"/>
      <w:pPr>
        <w:ind w:left="1250" w:hanging="420"/>
      </w:pPr>
    </w:lvl>
    <w:lvl w:ilvl="2" w:tentative="0">
      <w:start w:val="1"/>
      <w:numFmt w:val="lowerRoman"/>
      <w:lvlText w:val="%3."/>
      <w:lvlJc w:val="right"/>
      <w:pPr>
        <w:ind w:left="1670" w:hanging="420"/>
      </w:pPr>
    </w:lvl>
    <w:lvl w:ilvl="3" w:tentative="0">
      <w:start w:val="1"/>
      <w:numFmt w:val="decimal"/>
      <w:lvlText w:val="%4."/>
      <w:lvlJc w:val="left"/>
      <w:pPr>
        <w:ind w:left="2090" w:hanging="420"/>
      </w:pPr>
    </w:lvl>
    <w:lvl w:ilvl="4" w:tentative="0">
      <w:start w:val="1"/>
      <w:numFmt w:val="lowerLetter"/>
      <w:lvlText w:val="%5)"/>
      <w:lvlJc w:val="left"/>
      <w:pPr>
        <w:ind w:left="2510" w:hanging="420"/>
      </w:pPr>
    </w:lvl>
    <w:lvl w:ilvl="5" w:tentative="0">
      <w:start w:val="1"/>
      <w:numFmt w:val="lowerRoman"/>
      <w:lvlText w:val="%6."/>
      <w:lvlJc w:val="right"/>
      <w:pPr>
        <w:ind w:left="2930" w:hanging="420"/>
      </w:pPr>
    </w:lvl>
    <w:lvl w:ilvl="6" w:tentative="0">
      <w:start w:val="1"/>
      <w:numFmt w:val="decimal"/>
      <w:lvlText w:val="%7."/>
      <w:lvlJc w:val="left"/>
      <w:pPr>
        <w:ind w:left="3350" w:hanging="420"/>
      </w:pPr>
    </w:lvl>
    <w:lvl w:ilvl="7" w:tentative="0">
      <w:start w:val="1"/>
      <w:numFmt w:val="lowerLetter"/>
      <w:lvlText w:val="%8)"/>
      <w:lvlJc w:val="left"/>
      <w:pPr>
        <w:ind w:left="3770" w:hanging="420"/>
      </w:pPr>
    </w:lvl>
    <w:lvl w:ilvl="8" w:tentative="0">
      <w:start w:val="1"/>
      <w:numFmt w:val="lowerRoman"/>
      <w:lvlText w:val="%9."/>
      <w:lvlJc w:val="right"/>
      <w:pPr>
        <w:ind w:left="4190" w:hanging="420"/>
      </w:pPr>
    </w:lvl>
  </w:abstractNum>
  <w:abstractNum w:abstractNumId="2">
    <w:nsid w:val="753A0BEE"/>
    <w:multiLevelType w:val="multilevel"/>
    <w:tmpl w:val="753A0BEE"/>
    <w:lvl w:ilvl="0" w:tentative="0">
      <w:start w:val="1"/>
      <w:numFmt w:val="chineseCountingThousand"/>
      <w:lvlText w:val="第 %1 篇"/>
      <w:lvlJc w:val="left"/>
      <w:pPr>
        <w:tabs>
          <w:tab w:val="left" w:pos="2291"/>
        </w:tabs>
        <w:ind w:left="2291" w:hanging="851"/>
      </w:pPr>
      <w:rPr>
        <w:rFonts w:hint="default" w:ascii="Arial" w:hAnsi="Arial" w:eastAsia="宋体"/>
        <w:b/>
        <w:sz w:val="44"/>
        <w:szCs w:val="44"/>
      </w:rPr>
    </w:lvl>
    <w:lvl w:ilvl="1" w:tentative="0">
      <w:start w:val="1"/>
      <w:numFmt w:val="decimal"/>
      <w:lvlText w:val="第 %2 章"/>
      <w:lvlJc w:val="left"/>
      <w:pPr>
        <w:tabs>
          <w:tab w:val="left" w:pos="4112"/>
        </w:tabs>
        <w:ind w:left="4112" w:hanging="1134"/>
      </w:pPr>
      <w:rPr>
        <w:rFonts w:hint="eastAsia" w:eastAsia="黑体"/>
        <w:b/>
        <w:i w:val="0"/>
        <w:sz w:val="28"/>
        <w:szCs w:val="28"/>
      </w:rPr>
    </w:lvl>
    <w:lvl w:ilvl="2" w:tentative="0">
      <w:start w:val="1"/>
      <w:numFmt w:val="decimal"/>
      <w:lvlText w:val="%3"/>
      <w:lvlJc w:val="left"/>
      <w:pPr>
        <w:tabs>
          <w:tab w:val="left" w:pos="1021"/>
        </w:tabs>
        <w:ind w:left="1021" w:hanging="1021"/>
      </w:pPr>
      <w:rPr>
        <w:rFonts w:hint="default" w:ascii="宋体" w:hAnsi="宋体" w:eastAsia="宋体"/>
        <w:b/>
        <w:sz w:val="24"/>
        <w:szCs w:val="24"/>
      </w:rPr>
    </w:lvl>
    <w:lvl w:ilvl="3" w:tentative="0">
      <w:start w:val="1"/>
      <w:numFmt w:val="decimal"/>
      <w:pStyle w:val="4"/>
      <w:suff w:val="space"/>
      <w:lvlText w:val="%3.%4"/>
      <w:lvlJc w:val="left"/>
      <w:pPr>
        <w:ind w:left="0" w:firstLine="0"/>
      </w:pPr>
      <w:rPr>
        <w:rFonts w:hint="default" w:ascii="Arial" w:hAnsi="Arial" w:eastAsia="宋体"/>
        <w:b/>
        <w:strike w:val="0"/>
        <w:color w:val="000000"/>
      </w:rPr>
    </w:lvl>
    <w:lvl w:ilvl="4" w:tentative="0">
      <w:start w:val="1"/>
      <w:numFmt w:val="decimal"/>
      <w:pStyle w:val="5"/>
      <w:lvlText w:val="%3.%4.%5"/>
      <w:lvlJc w:val="left"/>
      <w:pPr>
        <w:tabs>
          <w:tab w:val="left" w:pos="0"/>
        </w:tabs>
        <w:ind w:left="0" w:firstLine="0"/>
      </w:pPr>
      <w:rPr>
        <w:rFonts w:hint="default" w:ascii="Arial" w:hAnsi="Arial" w:eastAsia="宋体"/>
        <w:b w:val="0"/>
        <w:color w:val="auto"/>
        <w:sz w:val="21"/>
        <w:szCs w:val="21"/>
      </w:rPr>
    </w:lvl>
    <w:lvl w:ilvl="5" w:tentative="0">
      <w:start w:val="1"/>
      <w:numFmt w:val="decimal"/>
      <w:lvlText w:val="%3.%4.%5.%6"/>
      <w:lvlJc w:val="left"/>
      <w:pPr>
        <w:tabs>
          <w:tab w:val="left" w:pos="0"/>
        </w:tabs>
        <w:ind w:left="0" w:firstLine="0"/>
      </w:pPr>
      <w:rPr>
        <w:rFonts w:hint="default" w:ascii="Arial" w:hAnsi="Arial" w:eastAsia="宋体"/>
        <w:b w:val="0"/>
        <w:color w:val="auto"/>
        <w:sz w:val="21"/>
        <w:szCs w:val="21"/>
      </w:rPr>
    </w:lvl>
    <w:lvl w:ilvl="6" w:tentative="0">
      <w:start w:val="1"/>
      <w:numFmt w:val="lowerLetter"/>
      <w:lvlText w:val="%7)"/>
      <w:lvlJc w:val="left"/>
      <w:pPr>
        <w:tabs>
          <w:tab w:val="left" w:pos="1101"/>
        </w:tabs>
        <w:ind w:left="1084" w:hanging="454"/>
      </w:pPr>
      <w:rPr>
        <w:rFonts w:hint="default"/>
        <w:b w:val="0"/>
        <w:color w:val="auto"/>
      </w:rPr>
    </w:lvl>
    <w:lvl w:ilvl="7" w:tentative="0">
      <w:start w:val="1"/>
      <w:numFmt w:val="lowerLetter"/>
      <w:lvlText w:val="%8）"/>
      <w:lvlJc w:val="left"/>
      <w:pPr>
        <w:tabs>
          <w:tab w:val="left" w:pos="5856"/>
        </w:tabs>
        <w:ind w:left="4394" w:hanging="4167"/>
      </w:pPr>
      <w:rPr>
        <w:rFonts w:hint="default" w:ascii="Arial" w:hAnsi="Arial" w:eastAsia="宋体"/>
      </w:rPr>
    </w:lvl>
    <w:lvl w:ilvl="8" w:tentative="0">
      <w:start w:val="1"/>
      <w:numFmt w:val="decimal"/>
      <w:lvlText w:val="%1.%2.%3.%4.%5.%6.%7.%8.%9"/>
      <w:lvlJc w:val="left"/>
      <w:pPr>
        <w:tabs>
          <w:tab w:val="left" w:pos="6642"/>
        </w:tabs>
        <w:ind w:left="5102" w:hanging="1700"/>
      </w:pPr>
      <w:rPr>
        <w:rFonts w:hint="eastAsia"/>
      </w:rPr>
    </w:lvl>
  </w:abstractNum>
  <w:abstractNum w:abstractNumId="3">
    <w:nsid w:val="76933334"/>
    <w:multiLevelType w:val="multilevel"/>
    <w:tmpl w:val="76933334"/>
    <w:lvl w:ilvl="0" w:tentative="0">
      <w:start w:val="1"/>
      <w:numFmt w:val="none"/>
      <w:lvlText w:val="%1——"/>
      <w:lvlJc w:val="left"/>
      <w:pPr>
        <w:tabs>
          <w:tab w:val="left" w:pos="1455"/>
        </w:tabs>
        <w:ind w:left="1155"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pStyle w:val="17"/>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3"/>
      <w:numFmt w:val="lowerLetter"/>
      <w:lvlText w:val="%6）"/>
      <w:lvlJc w:val="left"/>
      <w:pPr>
        <w:tabs>
          <w:tab w:val="left" w:pos="2460"/>
        </w:tabs>
        <w:ind w:left="2460" w:hanging="360"/>
      </w:pPr>
      <w:rPr>
        <w:rFonts w:hint="default"/>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5MjEyNmI2M2VlODMyZWZlMzFhOWEzYmY0YTNiZWEifQ=="/>
  </w:docVars>
  <w:rsids>
    <w:rsidRoot w:val="00172A27"/>
    <w:rsid w:val="000A33CF"/>
    <w:rsid w:val="003E1903"/>
    <w:rsid w:val="017C390A"/>
    <w:rsid w:val="02AE77B6"/>
    <w:rsid w:val="05656C54"/>
    <w:rsid w:val="06643315"/>
    <w:rsid w:val="06A70B29"/>
    <w:rsid w:val="06D67F89"/>
    <w:rsid w:val="06F276E0"/>
    <w:rsid w:val="07867900"/>
    <w:rsid w:val="07B3128D"/>
    <w:rsid w:val="07BC5C22"/>
    <w:rsid w:val="080755FE"/>
    <w:rsid w:val="08BC09E8"/>
    <w:rsid w:val="08E616F2"/>
    <w:rsid w:val="0A7655DC"/>
    <w:rsid w:val="0AA92E05"/>
    <w:rsid w:val="0AB55A9D"/>
    <w:rsid w:val="0ABF13BD"/>
    <w:rsid w:val="0AF4107B"/>
    <w:rsid w:val="0B74292A"/>
    <w:rsid w:val="0C415745"/>
    <w:rsid w:val="0C6F50AF"/>
    <w:rsid w:val="0CEA463B"/>
    <w:rsid w:val="0D800597"/>
    <w:rsid w:val="0DD149E5"/>
    <w:rsid w:val="0DDF4CD0"/>
    <w:rsid w:val="0FDE3386"/>
    <w:rsid w:val="103A28CA"/>
    <w:rsid w:val="110E4E87"/>
    <w:rsid w:val="11383ACD"/>
    <w:rsid w:val="11516D9A"/>
    <w:rsid w:val="121635EA"/>
    <w:rsid w:val="12233423"/>
    <w:rsid w:val="12330C48"/>
    <w:rsid w:val="125A6553"/>
    <w:rsid w:val="13301A2E"/>
    <w:rsid w:val="139A0CB6"/>
    <w:rsid w:val="13F35F2B"/>
    <w:rsid w:val="15396199"/>
    <w:rsid w:val="156311A3"/>
    <w:rsid w:val="156A021D"/>
    <w:rsid w:val="15FE17BD"/>
    <w:rsid w:val="16301C10"/>
    <w:rsid w:val="16DA6CE2"/>
    <w:rsid w:val="17396143"/>
    <w:rsid w:val="178F02E9"/>
    <w:rsid w:val="18A7518C"/>
    <w:rsid w:val="18E24EE1"/>
    <w:rsid w:val="1901575A"/>
    <w:rsid w:val="19956BB8"/>
    <w:rsid w:val="19E31CED"/>
    <w:rsid w:val="19EA3CB6"/>
    <w:rsid w:val="19FA1B5A"/>
    <w:rsid w:val="1A1D6A85"/>
    <w:rsid w:val="1AB765E6"/>
    <w:rsid w:val="1AC64812"/>
    <w:rsid w:val="1B186D56"/>
    <w:rsid w:val="1B2D692F"/>
    <w:rsid w:val="1BE93A56"/>
    <w:rsid w:val="1C365716"/>
    <w:rsid w:val="1C4B5991"/>
    <w:rsid w:val="1C5D0B7B"/>
    <w:rsid w:val="1C927185"/>
    <w:rsid w:val="1C9D2600"/>
    <w:rsid w:val="1D662240"/>
    <w:rsid w:val="1F3E128C"/>
    <w:rsid w:val="1F707B20"/>
    <w:rsid w:val="1FF94378"/>
    <w:rsid w:val="2009055D"/>
    <w:rsid w:val="205740DB"/>
    <w:rsid w:val="20760FAA"/>
    <w:rsid w:val="214375AC"/>
    <w:rsid w:val="21592361"/>
    <w:rsid w:val="21820CFE"/>
    <w:rsid w:val="218360E3"/>
    <w:rsid w:val="22274E91"/>
    <w:rsid w:val="22A031DB"/>
    <w:rsid w:val="22B42385"/>
    <w:rsid w:val="22C6424E"/>
    <w:rsid w:val="23B3078F"/>
    <w:rsid w:val="248A3CA2"/>
    <w:rsid w:val="24FC2007"/>
    <w:rsid w:val="25E864C6"/>
    <w:rsid w:val="25FA7544"/>
    <w:rsid w:val="26A35454"/>
    <w:rsid w:val="2743270B"/>
    <w:rsid w:val="27575D0A"/>
    <w:rsid w:val="2769220F"/>
    <w:rsid w:val="279A4D65"/>
    <w:rsid w:val="27B436C2"/>
    <w:rsid w:val="27D271C9"/>
    <w:rsid w:val="283474C9"/>
    <w:rsid w:val="28A85003"/>
    <w:rsid w:val="29042C08"/>
    <w:rsid w:val="293D506C"/>
    <w:rsid w:val="29551D9C"/>
    <w:rsid w:val="29C73033"/>
    <w:rsid w:val="2A891FC4"/>
    <w:rsid w:val="2AAA1BA4"/>
    <w:rsid w:val="2BCD4176"/>
    <w:rsid w:val="2CF83AB2"/>
    <w:rsid w:val="2D1C7A94"/>
    <w:rsid w:val="2D2F5785"/>
    <w:rsid w:val="2DC35A21"/>
    <w:rsid w:val="2E1C2BFE"/>
    <w:rsid w:val="2E633173"/>
    <w:rsid w:val="2E7077A0"/>
    <w:rsid w:val="2EDF7527"/>
    <w:rsid w:val="2EFD43A1"/>
    <w:rsid w:val="2F46764A"/>
    <w:rsid w:val="2F793D61"/>
    <w:rsid w:val="2F7F055A"/>
    <w:rsid w:val="2FA751AC"/>
    <w:rsid w:val="2FCF4D80"/>
    <w:rsid w:val="2FF0345D"/>
    <w:rsid w:val="306E1DA9"/>
    <w:rsid w:val="30A56DDE"/>
    <w:rsid w:val="30B534AC"/>
    <w:rsid w:val="31575971"/>
    <w:rsid w:val="318E052D"/>
    <w:rsid w:val="31C12A2E"/>
    <w:rsid w:val="329E4C4D"/>
    <w:rsid w:val="33054FE2"/>
    <w:rsid w:val="335957FC"/>
    <w:rsid w:val="33B33761"/>
    <w:rsid w:val="33ED638A"/>
    <w:rsid w:val="34264392"/>
    <w:rsid w:val="3454215F"/>
    <w:rsid w:val="350B7858"/>
    <w:rsid w:val="356F0F35"/>
    <w:rsid w:val="35C318DD"/>
    <w:rsid w:val="3650490E"/>
    <w:rsid w:val="367A0C02"/>
    <w:rsid w:val="372B37A7"/>
    <w:rsid w:val="37EB2F17"/>
    <w:rsid w:val="38615846"/>
    <w:rsid w:val="38946077"/>
    <w:rsid w:val="38973F6C"/>
    <w:rsid w:val="389F7E73"/>
    <w:rsid w:val="39696682"/>
    <w:rsid w:val="39C942B3"/>
    <w:rsid w:val="3A676083"/>
    <w:rsid w:val="3AA06AF3"/>
    <w:rsid w:val="3AD303D3"/>
    <w:rsid w:val="3B2D17A6"/>
    <w:rsid w:val="3C173924"/>
    <w:rsid w:val="3C226E89"/>
    <w:rsid w:val="3C841FB3"/>
    <w:rsid w:val="3D1F75F1"/>
    <w:rsid w:val="3D447E9B"/>
    <w:rsid w:val="3EBC5024"/>
    <w:rsid w:val="3F584CA8"/>
    <w:rsid w:val="3FBD249F"/>
    <w:rsid w:val="40163DA9"/>
    <w:rsid w:val="4022723D"/>
    <w:rsid w:val="40774E48"/>
    <w:rsid w:val="408E2F6A"/>
    <w:rsid w:val="40E6577B"/>
    <w:rsid w:val="41321130"/>
    <w:rsid w:val="413E25C1"/>
    <w:rsid w:val="41803DBF"/>
    <w:rsid w:val="427A523F"/>
    <w:rsid w:val="429513FF"/>
    <w:rsid w:val="438B24D9"/>
    <w:rsid w:val="43B2241F"/>
    <w:rsid w:val="43E644A1"/>
    <w:rsid w:val="452B1D99"/>
    <w:rsid w:val="46135147"/>
    <w:rsid w:val="46476C07"/>
    <w:rsid w:val="46EA50E5"/>
    <w:rsid w:val="487436CC"/>
    <w:rsid w:val="4A707A81"/>
    <w:rsid w:val="4A77214D"/>
    <w:rsid w:val="4AAB15F1"/>
    <w:rsid w:val="4AC63354"/>
    <w:rsid w:val="4B77172E"/>
    <w:rsid w:val="4CC530AB"/>
    <w:rsid w:val="4CE70FB8"/>
    <w:rsid w:val="4D4F3B65"/>
    <w:rsid w:val="4E0E6F63"/>
    <w:rsid w:val="4E39078D"/>
    <w:rsid w:val="4E535699"/>
    <w:rsid w:val="4F1F7F38"/>
    <w:rsid w:val="4F67286E"/>
    <w:rsid w:val="506E42A3"/>
    <w:rsid w:val="507C227B"/>
    <w:rsid w:val="519E659A"/>
    <w:rsid w:val="51C86DB0"/>
    <w:rsid w:val="53030736"/>
    <w:rsid w:val="53081CE1"/>
    <w:rsid w:val="543505B5"/>
    <w:rsid w:val="544A424B"/>
    <w:rsid w:val="548E5502"/>
    <w:rsid w:val="564A0868"/>
    <w:rsid w:val="568F1626"/>
    <w:rsid w:val="57D9450A"/>
    <w:rsid w:val="58134D5A"/>
    <w:rsid w:val="588B59E7"/>
    <w:rsid w:val="5A406FE6"/>
    <w:rsid w:val="5A446116"/>
    <w:rsid w:val="5A8703DB"/>
    <w:rsid w:val="5B3C1C73"/>
    <w:rsid w:val="5BA0525E"/>
    <w:rsid w:val="5C3E2224"/>
    <w:rsid w:val="5C6D651B"/>
    <w:rsid w:val="5C8F71ED"/>
    <w:rsid w:val="5C921E66"/>
    <w:rsid w:val="5CAA3F37"/>
    <w:rsid w:val="5CE609DA"/>
    <w:rsid w:val="5D9E5D8A"/>
    <w:rsid w:val="5DFC620D"/>
    <w:rsid w:val="5E462018"/>
    <w:rsid w:val="5EAB5261"/>
    <w:rsid w:val="5F5D3174"/>
    <w:rsid w:val="5F627AA1"/>
    <w:rsid w:val="5F6B618B"/>
    <w:rsid w:val="605F4C6B"/>
    <w:rsid w:val="60B31BD4"/>
    <w:rsid w:val="60B95B9E"/>
    <w:rsid w:val="60D17DCE"/>
    <w:rsid w:val="616A43AA"/>
    <w:rsid w:val="62451CBB"/>
    <w:rsid w:val="6392756C"/>
    <w:rsid w:val="63FE6585"/>
    <w:rsid w:val="65172F2B"/>
    <w:rsid w:val="652A1701"/>
    <w:rsid w:val="6588486B"/>
    <w:rsid w:val="65963207"/>
    <w:rsid w:val="65A47C9E"/>
    <w:rsid w:val="65F222B6"/>
    <w:rsid w:val="684D0B42"/>
    <w:rsid w:val="68A210C1"/>
    <w:rsid w:val="68F4184A"/>
    <w:rsid w:val="696C043C"/>
    <w:rsid w:val="69961B51"/>
    <w:rsid w:val="6A252B92"/>
    <w:rsid w:val="6A574AF8"/>
    <w:rsid w:val="6AA60C51"/>
    <w:rsid w:val="6BB05746"/>
    <w:rsid w:val="6C137F57"/>
    <w:rsid w:val="6CA74653"/>
    <w:rsid w:val="6CB33287"/>
    <w:rsid w:val="6CC46801"/>
    <w:rsid w:val="6D474D00"/>
    <w:rsid w:val="6D732BB5"/>
    <w:rsid w:val="6E555635"/>
    <w:rsid w:val="6E881B36"/>
    <w:rsid w:val="6EB106B9"/>
    <w:rsid w:val="6F034B31"/>
    <w:rsid w:val="6F5C60DE"/>
    <w:rsid w:val="6F651305"/>
    <w:rsid w:val="6F7B38EC"/>
    <w:rsid w:val="6F82126D"/>
    <w:rsid w:val="6FD00A02"/>
    <w:rsid w:val="706A0180"/>
    <w:rsid w:val="70C35A0C"/>
    <w:rsid w:val="70D54DA4"/>
    <w:rsid w:val="71651A59"/>
    <w:rsid w:val="719C715F"/>
    <w:rsid w:val="723628C0"/>
    <w:rsid w:val="7271444E"/>
    <w:rsid w:val="72890F62"/>
    <w:rsid w:val="72E04A5A"/>
    <w:rsid w:val="72F24E14"/>
    <w:rsid w:val="74240049"/>
    <w:rsid w:val="74E345F7"/>
    <w:rsid w:val="758D5C51"/>
    <w:rsid w:val="76200CFF"/>
    <w:rsid w:val="7625652F"/>
    <w:rsid w:val="768563E4"/>
    <w:rsid w:val="7715546B"/>
    <w:rsid w:val="77A2623B"/>
    <w:rsid w:val="77DB13B2"/>
    <w:rsid w:val="78724ED2"/>
    <w:rsid w:val="788A4442"/>
    <w:rsid w:val="7962007B"/>
    <w:rsid w:val="7AED34D6"/>
    <w:rsid w:val="7B920410"/>
    <w:rsid w:val="7C187FA5"/>
    <w:rsid w:val="7C2D7057"/>
    <w:rsid w:val="7D201EA4"/>
    <w:rsid w:val="7D3573E7"/>
    <w:rsid w:val="7DA41789"/>
    <w:rsid w:val="7DC87A78"/>
    <w:rsid w:val="7E405C0C"/>
    <w:rsid w:val="7F144CC7"/>
    <w:rsid w:val="7F2E1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next w:val="1"/>
    <w:qFormat/>
    <w:uiPriority w:val="0"/>
    <w:pPr>
      <w:keepNext/>
      <w:keepLines/>
      <w:numPr>
        <w:ilvl w:val="3"/>
        <w:numId w:val="1"/>
      </w:numPr>
      <w:spacing w:after="120" w:line="60" w:lineRule="atLeast"/>
      <w:outlineLvl w:val="3"/>
    </w:pPr>
    <w:rPr>
      <w:rFonts w:ascii="Arial" w:hAnsi="Arial" w:eastAsia="宋体" w:cs="Times New Roman"/>
      <w:iCs/>
      <w:kern w:val="2"/>
      <w:sz w:val="21"/>
      <w:szCs w:val="21"/>
      <w:lang w:val="en-US" w:eastAsia="zh-CN" w:bidi="ar-SA"/>
    </w:rPr>
  </w:style>
  <w:style w:type="paragraph" w:styleId="5">
    <w:name w:val="heading 5"/>
    <w:next w:val="1"/>
    <w:qFormat/>
    <w:uiPriority w:val="0"/>
    <w:pPr>
      <w:keepNext/>
      <w:keepLines/>
      <w:numPr>
        <w:ilvl w:val="4"/>
        <w:numId w:val="1"/>
      </w:numPr>
      <w:spacing w:after="120" w:line="60" w:lineRule="atLeast"/>
      <w:outlineLvl w:val="4"/>
    </w:pPr>
    <w:rPr>
      <w:rFonts w:ascii="Arial" w:hAnsi="Arial" w:eastAsia="宋体" w:cs="Times New Roman"/>
      <w:bCs/>
      <w:kern w:val="2"/>
      <w:sz w:val="21"/>
      <w:szCs w:val="28"/>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6">
    <w:name w:val="Normal Indent"/>
    <w:basedOn w:val="1"/>
    <w:next w:val="1"/>
    <w:qFormat/>
    <w:uiPriority w:val="0"/>
    <w:pPr>
      <w:adjustRightInd w:val="0"/>
      <w:spacing w:line="360" w:lineRule="atLeast"/>
      <w:ind w:firstLine="420"/>
      <w:jc w:val="left"/>
      <w:textAlignment w:val="baseline"/>
    </w:pPr>
    <w:rPr>
      <w:rFonts w:ascii="Times New Roman" w:hAnsi="Times New Roman"/>
      <w:kern w:val="0"/>
      <w:sz w:val="24"/>
      <w:szCs w:val="20"/>
    </w:rPr>
  </w:style>
  <w:style w:type="paragraph" w:styleId="7">
    <w:name w:val="Plain Text"/>
    <w:basedOn w:val="1"/>
    <w:qFormat/>
    <w:uiPriority w:val="0"/>
    <w:pPr>
      <w:adjustRightInd w:val="0"/>
      <w:spacing w:line="312" w:lineRule="atLeast"/>
    </w:pPr>
    <w:rPr>
      <w:rFonts w:ascii="宋体" w:hAnsi="Courier New"/>
      <w:kern w:val="0"/>
      <w:szCs w:val="20"/>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2"/>
    <w:basedOn w:val="1"/>
    <w:next w:val="1"/>
    <w:semiHidden/>
    <w:qFormat/>
    <w:uiPriority w:val="0"/>
    <w:pPr>
      <w:ind w:left="210"/>
      <w:jc w:val="left"/>
    </w:pPr>
    <w:rPr>
      <w:smallCaps/>
      <w:sz w:val="20"/>
      <w:szCs w:val="20"/>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page number"/>
    <w:basedOn w:val="13"/>
    <w:qFormat/>
    <w:uiPriority w:val="0"/>
  </w:style>
  <w:style w:type="paragraph" w:customStyle="1" w:styleId="16">
    <w:name w:val="List Paragraph"/>
    <w:basedOn w:val="1"/>
    <w:qFormat/>
    <w:uiPriority w:val="34"/>
    <w:pPr>
      <w:ind w:firstLine="420" w:firstLineChars="200"/>
    </w:pPr>
    <w:rPr>
      <w:rFonts w:ascii="Calibri" w:hAnsi="Calibri"/>
      <w:szCs w:val="22"/>
    </w:rPr>
  </w:style>
  <w:style w:type="paragraph" w:customStyle="1" w:styleId="17">
    <w:name w:val="附录二级无"/>
    <w:basedOn w:val="1"/>
    <w:qFormat/>
    <w:uiPriority w:val="0"/>
    <w:pPr>
      <w:widowControl/>
      <w:numPr>
        <w:ilvl w:val="3"/>
        <w:numId w:val="2"/>
      </w:numPr>
      <w:wordWrap w:val="0"/>
      <w:overflowPunct w:val="0"/>
      <w:autoSpaceDE w:val="0"/>
      <w:autoSpaceDN w:val="0"/>
      <w:ind w:left="0"/>
      <w:textAlignment w:val="baseline"/>
      <w:outlineLvl w:val="3"/>
    </w:pPr>
    <w:rPr>
      <w:rFonts w:ascii="宋体" w:hAnsi="Times New Roman" w:eastAsia="宋体" w:cs="Times New Roman"/>
      <w:kern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2022-03-11T05:08:00Z</dcterms:created>
  <dc:creator>孙鹏程</dc:creator>
  <cp:lastModifiedBy>刘继行</cp:lastModifiedBy>
  <dcterms:modified xsi:type="dcterms:W3CDTF">2024-03-25T05:50:43Z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14974EB426E9445AAE5C347F2929A0B8</vt:lpwstr>
  </property>
</Properties>
</file>